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550A49">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550A49">
            <w:pPr>
              <w:jc w:val="right"/>
              <w:rPr>
                <w:b/>
                <w:sz w:val="36"/>
                <w:szCs w:val="36"/>
              </w:rPr>
            </w:pPr>
            <w:r w:rsidRPr="00490115">
              <w:rPr>
                <w:b/>
                <w:sz w:val="36"/>
                <w:szCs w:val="36"/>
              </w:rPr>
              <w:t>Goal Progress Report</w:t>
            </w:r>
            <w:r w:rsidR="00802DA9">
              <w:rPr>
                <w:b/>
                <w:sz w:val="36"/>
                <w:szCs w:val="36"/>
              </w:rPr>
              <w:t xml:space="preserve"> – Strategic Planning Committee</w:t>
            </w:r>
          </w:p>
        </w:tc>
      </w:tr>
      <w:tr w:rsidR="00F26A57" w:rsidRPr="00B81C69" w:rsidTr="00F26A57">
        <w:tc>
          <w:tcPr>
            <w:tcW w:w="1291" w:type="dxa"/>
          </w:tcPr>
          <w:p w:rsidR="00F26A57" w:rsidRDefault="00F26A57" w:rsidP="00550A49">
            <w:pPr>
              <w:rPr>
                <w:b/>
                <w:sz w:val="28"/>
                <w:szCs w:val="28"/>
              </w:rPr>
            </w:pPr>
          </w:p>
          <w:p w:rsidR="00F26A57" w:rsidRDefault="00F26A57" w:rsidP="00550A49">
            <w:pPr>
              <w:rPr>
                <w:b/>
                <w:sz w:val="28"/>
                <w:szCs w:val="28"/>
              </w:rPr>
            </w:pPr>
          </w:p>
          <w:p w:rsidR="00F26A57" w:rsidRPr="00D554AC" w:rsidRDefault="00F26A57" w:rsidP="00550A49">
            <w:pPr>
              <w:rPr>
                <w:b/>
                <w:sz w:val="28"/>
                <w:szCs w:val="28"/>
              </w:rPr>
            </w:pPr>
            <w:r w:rsidRPr="00D554AC">
              <w:rPr>
                <w:b/>
                <w:sz w:val="28"/>
                <w:szCs w:val="28"/>
              </w:rPr>
              <w:t>Program:</w:t>
            </w:r>
          </w:p>
        </w:tc>
        <w:tc>
          <w:tcPr>
            <w:tcW w:w="5207" w:type="dxa"/>
            <w:tcBorders>
              <w:bottom w:val="single" w:sz="6" w:space="0" w:color="auto"/>
            </w:tcBorders>
          </w:tcPr>
          <w:p w:rsidR="00F26A57" w:rsidRDefault="00F26A57" w:rsidP="00550A49">
            <w:pPr>
              <w:rPr>
                <w:b/>
                <w:sz w:val="24"/>
                <w:szCs w:val="24"/>
              </w:rPr>
            </w:pPr>
          </w:p>
          <w:p w:rsidR="00802DA9" w:rsidRDefault="00802DA9" w:rsidP="00550A49">
            <w:pPr>
              <w:rPr>
                <w:b/>
                <w:sz w:val="24"/>
                <w:szCs w:val="24"/>
              </w:rPr>
            </w:pPr>
          </w:p>
          <w:p w:rsidR="00802DA9" w:rsidRPr="00B81C69" w:rsidRDefault="00802DA9" w:rsidP="00550A49">
            <w:pPr>
              <w:rPr>
                <w:b/>
                <w:sz w:val="24"/>
                <w:szCs w:val="24"/>
              </w:rPr>
            </w:pPr>
            <w:r>
              <w:rPr>
                <w:b/>
                <w:sz w:val="24"/>
                <w:szCs w:val="24"/>
              </w:rPr>
              <w:t>Student Success</w:t>
            </w:r>
          </w:p>
        </w:tc>
        <w:tc>
          <w:tcPr>
            <w:tcW w:w="2610" w:type="dxa"/>
            <w:gridSpan w:val="2"/>
          </w:tcPr>
          <w:p w:rsidR="00F26A57" w:rsidRDefault="00F26A57" w:rsidP="00550A49">
            <w:pPr>
              <w:rPr>
                <w:b/>
                <w:sz w:val="24"/>
                <w:szCs w:val="24"/>
              </w:rPr>
            </w:pPr>
            <w:r>
              <w:rPr>
                <w:b/>
                <w:sz w:val="24"/>
                <w:szCs w:val="24"/>
              </w:rPr>
              <w:t xml:space="preserve">  </w:t>
            </w:r>
          </w:p>
          <w:p w:rsidR="00F26A57" w:rsidRDefault="00F26A57" w:rsidP="00550A49">
            <w:pPr>
              <w:rPr>
                <w:b/>
                <w:sz w:val="28"/>
                <w:szCs w:val="28"/>
              </w:rPr>
            </w:pPr>
          </w:p>
          <w:p w:rsidR="00F26A57" w:rsidRPr="00D554AC" w:rsidRDefault="00F26A57" w:rsidP="00550A49">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Default="00F26A57" w:rsidP="00550A49">
            <w:pPr>
              <w:rPr>
                <w:b/>
                <w:sz w:val="24"/>
                <w:szCs w:val="24"/>
              </w:rPr>
            </w:pPr>
          </w:p>
          <w:p w:rsidR="00802DA9" w:rsidRDefault="00802DA9" w:rsidP="00550A49">
            <w:pPr>
              <w:rPr>
                <w:b/>
                <w:sz w:val="24"/>
                <w:szCs w:val="24"/>
              </w:rPr>
            </w:pPr>
          </w:p>
          <w:p w:rsidR="00802DA9" w:rsidRPr="00B81C69" w:rsidRDefault="00831412" w:rsidP="00550A49">
            <w:pPr>
              <w:rPr>
                <w:b/>
                <w:sz w:val="24"/>
                <w:szCs w:val="24"/>
              </w:rPr>
            </w:pPr>
            <w:r>
              <w:rPr>
                <w:b/>
                <w:sz w:val="24"/>
                <w:szCs w:val="24"/>
              </w:rPr>
              <w:t>2016-2017</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3"/>
        <w:gridCol w:w="3263"/>
        <w:gridCol w:w="3235"/>
        <w:gridCol w:w="3223"/>
      </w:tblGrid>
      <w:tr w:rsidR="00F26A57" w:rsidRPr="00D554AC" w:rsidTr="00550A49">
        <w:tc>
          <w:tcPr>
            <w:tcW w:w="13176" w:type="dxa"/>
            <w:gridSpan w:val="4"/>
            <w:tcBorders>
              <w:bottom w:val="single" w:sz="6" w:space="0" w:color="auto"/>
            </w:tcBorders>
            <w:shd w:val="clear" w:color="auto" w:fill="D9D9D9" w:themeFill="background1" w:themeFillShade="D9"/>
          </w:tcPr>
          <w:p w:rsidR="00F26A57" w:rsidRPr="00D554AC" w:rsidRDefault="00F26A57" w:rsidP="00550A49">
            <w:pPr>
              <w:jc w:val="center"/>
              <w:rPr>
                <w:b/>
                <w:sz w:val="32"/>
                <w:szCs w:val="32"/>
              </w:rPr>
            </w:pPr>
          </w:p>
        </w:tc>
      </w:tr>
      <w:tr w:rsidR="00F26A57" w:rsidRPr="00D554AC" w:rsidTr="00550A49">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550A49">
            <w:pPr>
              <w:jc w:val="center"/>
              <w:rPr>
                <w:b/>
                <w:sz w:val="16"/>
                <w:szCs w:val="16"/>
              </w:rPr>
            </w:pPr>
          </w:p>
          <w:p w:rsidR="00F26A57" w:rsidRPr="00D554AC" w:rsidRDefault="00F26A57" w:rsidP="00550A49">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550A49">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550A49">
            <w:pPr>
              <w:jc w:val="center"/>
              <w:rPr>
                <w:b/>
                <w:sz w:val="16"/>
                <w:szCs w:val="16"/>
              </w:rPr>
            </w:pPr>
          </w:p>
          <w:p w:rsidR="00F26A57" w:rsidRPr="00D554AC" w:rsidRDefault="00F26A57" w:rsidP="00550A49">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550A49">
            <w:pPr>
              <w:jc w:val="center"/>
              <w:rPr>
                <w:b/>
                <w:sz w:val="24"/>
                <w:szCs w:val="24"/>
              </w:rPr>
            </w:pPr>
            <w:r>
              <w:rPr>
                <w:b/>
                <w:sz w:val="24"/>
                <w:szCs w:val="24"/>
              </w:rPr>
              <w:t>Strategies Implemented &amp; Follow-up</w:t>
            </w:r>
          </w:p>
        </w:tc>
      </w:tr>
      <w:tr w:rsidR="00F26A57" w:rsidTr="00550A49">
        <w:trPr>
          <w:trHeight w:val="54"/>
        </w:trPr>
        <w:tc>
          <w:tcPr>
            <w:tcW w:w="3294" w:type="dxa"/>
            <w:tcBorders>
              <w:top w:val="thinThickSmallGap" w:sz="12" w:space="0" w:color="auto"/>
              <w:right w:val="single" w:sz="6" w:space="0" w:color="auto"/>
            </w:tcBorders>
          </w:tcPr>
          <w:p w:rsidR="00F26A57" w:rsidRDefault="00C74F8C" w:rsidP="00550A49">
            <w:r>
              <w:rPr>
                <w:rFonts w:ascii="Calibri" w:eastAsia="Calibri" w:hAnsi="Calibri" w:cs="Calibri"/>
                <w:b/>
                <w:bCs/>
              </w:rPr>
              <w:t xml:space="preserve">Enhance the teaching and learning </w:t>
            </w:r>
            <w:r w:rsidRPr="00C441CC">
              <w:rPr>
                <w:rFonts w:ascii="Calibri" w:eastAsia="Calibri" w:hAnsi="Calibri" w:cs="Calibri"/>
                <w:b/>
                <w:bCs/>
                <w:noProof/>
              </w:rPr>
              <w:t>process</w:t>
            </w:r>
            <w:r>
              <w:rPr>
                <w:rFonts w:ascii="Calibri" w:eastAsia="Calibri" w:hAnsi="Calibri" w:cs="Calibri"/>
                <w:b/>
                <w:bCs/>
              </w:rPr>
              <w:t xml:space="preserve"> for math students through the purchase of </w:t>
            </w:r>
            <w:proofErr w:type="gramStart"/>
            <w:r>
              <w:rPr>
                <w:rFonts w:ascii="Calibri" w:eastAsia="Calibri" w:hAnsi="Calibri" w:cs="Calibri"/>
                <w:b/>
                <w:bCs/>
              </w:rPr>
              <w:t>new technology</w:t>
            </w:r>
            <w:proofErr w:type="gramEnd"/>
            <w:r>
              <w:rPr>
                <w:rFonts w:ascii="Calibri" w:eastAsia="Calibri" w:hAnsi="Calibri" w:cs="Calibri"/>
                <w:b/>
                <w:bCs/>
              </w:rPr>
              <w:t>.</w:t>
            </w:r>
          </w:p>
        </w:tc>
        <w:tc>
          <w:tcPr>
            <w:tcW w:w="3294" w:type="dxa"/>
            <w:tcBorders>
              <w:top w:val="thinThickSmallGap" w:sz="12" w:space="0" w:color="auto"/>
              <w:left w:val="single" w:sz="6" w:space="0" w:color="auto"/>
              <w:right w:val="single" w:sz="4" w:space="0" w:color="auto"/>
            </w:tcBorders>
          </w:tcPr>
          <w:p w:rsidR="00C74F8C" w:rsidRDefault="00C74F8C" w:rsidP="00C74F8C">
            <w:r w:rsidRPr="00C441CC">
              <w:rPr>
                <w:noProof/>
              </w:rPr>
              <w:t>Improve methods of formal and ad hoc classroom lecture recordings.</w:t>
            </w:r>
          </w:p>
          <w:p w:rsidR="00C74F8C" w:rsidRDefault="00C74F8C" w:rsidP="00C74F8C">
            <w:r>
              <w:t>Establish a High Definition library that would serve as online tutorials for all math students.</w:t>
            </w:r>
          </w:p>
          <w:p w:rsidR="00F26A57" w:rsidRDefault="00F26A57" w:rsidP="00550A49"/>
        </w:tc>
        <w:tc>
          <w:tcPr>
            <w:tcW w:w="3294" w:type="dxa"/>
            <w:tcBorders>
              <w:top w:val="thinThickSmallGap" w:sz="12" w:space="0" w:color="auto"/>
              <w:left w:val="single" w:sz="4" w:space="0" w:color="auto"/>
              <w:right w:val="single" w:sz="6" w:space="0" w:color="auto"/>
            </w:tcBorders>
          </w:tcPr>
          <w:p w:rsidR="00F26A57" w:rsidRDefault="00831412" w:rsidP="00550A49">
            <w:r>
              <w:t>Approval for this request was not received for the 2016-2017 academic year.</w:t>
            </w:r>
          </w:p>
        </w:tc>
        <w:tc>
          <w:tcPr>
            <w:tcW w:w="3294" w:type="dxa"/>
            <w:tcBorders>
              <w:top w:val="thinThickSmallGap" w:sz="12" w:space="0" w:color="auto"/>
              <w:left w:val="single" w:sz="6" w:space="0" w:color="auto"/>
            </w:tcBorders>
          </w:tcPr>
          <w:p w:rsidR="00F26A57" w:rsidRDefault="00831412" w:rsidP="00550A49">
            <w:r>
              <w:t>Math faculty have expressed a continued interest in fulfilling this goal</w:t>
            </w:r>
            <w:r w:rsidR="009B536D">
              <w:t xml:space="preserve">. Therefore, </w:t>
            </w:r>
            <w:r w:rsidR="00F973D7">
              <w:t xml:space="preserve">a request will be made again in the </w:t>
            </w:r>
            <w:r w:rsidR="00D4701D">
              <w:t>next</w:t>
            </w:r>
            <w:r w:rsidR="00F973D7">
              <w:t xml:space="preserve"> strategic plan.</w:t>
            </w:r>
          </w:p>
        </w:tc>
      </w:tr>
      <w:tr w:rsidR="00F26A57" w:rsidTr="00550A49">
        <w:trPr>
          <w:trHeight w:val="54"/>
        </w:trPr>
        <w:tc>
          <w:tcPr>
            <w:tcW w:w="3294" w:type="dxa"/>
            <w:tcBorders>
              <w:right w:val="single" w:sz="6" w:space="0" w:color="auto"/>
            </w:tcBorders>
          </w:tcPr>
          <w:p w:rsidR="00F26A57" w:rsidRDefault="00C74F8C" w:rsidP="00550A49">
            <w:r w:rsidRPr="007356D6">
              <w:rPr>
                <w:b/>
              </w:rPr>
              <w:t>Provide professional developmental opportunities for the integration of course technology in the classroom.</w:t>
            </w:r>
            <w:r>
              <w:t xml:space="preserve"> </w:t>
            </w:r>
          </w:p>
        </w:tc>
        <w:tc>
          <w:tcPr>
            <w:tcW w:w="3294" w:type="dxa"/>
            <w:tcBorders>
              <w:left w:val="single" w:sz="6" w:space="0" w:color="auto"/>
              <w:right w:val="single" w:sz="4" w:space="0" w:color="auto"/>
            </w:tcBorders>
          </w:tcPr>
          <w:p w:rsidR="00F26A57" w:rsidRDefault="00C74F8C" w:rsidP="00550A49">
            <w:r>
              <w:t xml:space="preserve">Increase the number of instructors using comprehensive </w:t>
            </w:r>
            <w:r w:rsidRPr="00C441CC">
              <w:rPr>
                <w:noProof/>
              </w:rPr>
              <w:t>subject</w:t>
            </w:r>
            <w:r>
              <w:rPr>
                <w:noProof/>
              </w:rPr>
              <w:t>-</w:t>
            </w:r>
            <w:r w:rsidRPr="00C441CC">
              <w:rPr>
                <w:noProof/>
              </w:rPr>
              <w:t>based</w:t>
            </w:r>
            <w:r>
              <w:t xml:space="preserve"> course management </w:t>
            </w:r>
            <w:r w:rsidRPr="00C441CC">
              <w:rPr>
                <w:noProof/>
              </w:rPr>
              <w:t>tools by</w:t>
            </w:r>
            <w:r>
              <w:t xml:space="preserve"> </w:t>
            </w:r>
            <w:r w:rsidRPr="00C441CC">
              <w:rPr>
                <w:noProof/>
              </w:rPr>
              <w:t>provid</w:t>
            </w:r>
            <w:r>
              <w:rPr>
                <w:noProof/>
              </w:rPr>
              <w:t>ing</w:t>
            </w:r>
            <w:r>
              <w:t xml:space="preserve"> training and support for faculty interested in incorporating additional technological resources in the classroom.</w:t>
            </w:r>
          </w:p>
        </w:tc>
        <w:tc>
          <w:tcPr>
            <w:tcW w:w="3294" w:type="dxa"/>
            <w:tcBorders>
              <w:left w:val="single" w:sz="4" w:space="0" w:color="auto"/>
              <w:right w:val="single" w:sz="6" w:space="0" w:color="auto"/>
            </w:tcBorders>
          </w:tcPr>
          <w:p w:rsidR="00F26A57" w:rsidRDefault="009B536D" w:rsidP="00550A49">
            <w:r>
              <w:t xml:space="preserve">Instructors </w:t>
            </w:r>
            <w:r w:rsidR="00E40A8B">
              <w:t xml:space="preserve">attended </w:t>
            </w:r>
            <w:r w:rsidR="00083CA3">
              <w:t>demonstrations provided</w:t>
            </w:r>
            <w:r>
              <w:t xml:space="preserve"> by HAWKES Learning System. This </w:t>
            </w:r>
            <w:r w:rsidR="00F973D7">
              <w:t>homework/</w:t>
            </w:r>
            <w:r>
              <w:t xml:space="preserve">course management system was piloted </w:t>
            </w:r>
            <w:r w:rsidR="00F973D7">
              <w:t xml:space="preserve">and compared </w:t>
            </w:r>
            <w:r w:rsidR="00E40A8B">
              <w:t>to</w:t>
            </w:r>
            <w:r w:rsidR="00083CA3">
              <w:t xml:space="preserve"> WebAssign, a</w:t>
            </w:r>
            <w:r w:rsidR="00E40A8B">
              <w:t xml:space="preserve"> system more widely used within the department.</w:t>
            </w:r>
          </w:p>
        </w:tc>
        <w:tc>
          <w:tcPr>
            <w:tcW w:w="3294" w:type="dxa"/>
            <w:tcBorders>
              <w:left w:val="single" w:sz="6" w:space="0" w:color="auto"/>
            </w:tcBorders>
          </w:tcPr>
          <w:p w:rsidR="00F26A57" w:rsidRDefault="009B536D" w:rsidP="00550A49">
            <w:r>
              <w:t>A comparison of student results in the pilot revealed that students performed at a lower l</w:t>
            </w:r>
            <w:r w:rsidR="00083CA3">
              <w:t>evel when compared to those that used WebAssign</w:t>
            </w:r>
            <w:r>
              <w:t xml:space="preserve">.  The department </w:t>
            </w:r>
            <w:r w:rsidR="00E40A8B">
              <w:t>will continue</w:t>
            </w:r>
            <w:r w:rsidR="00083CA3">
              <w:t xml:space="preserve"> use WebAssign </w:t>
            </w:r>
            <w:r>
              <w:t>along with MyMath Lab (Pearson</w:t>
            </w:r>
            <w:r w:rsidR="00D4701D">
              <w:t>.</w:t>
            </w:r>
            <w:r>
              <w:t>)</w:t>
            </w:r>
          </w:p>
        </w:tc>
      </w:tr>
      <w:tr w:rsidR="00F26A57" w:rsidTr="00550A49">
        <w:trPr>
          <w:trHeight w:val="54"/>
        </w:trPr>
        <w:tc>
          <w:tcPr>
            <w:tcW w:w="3294" w:type="dxa"/>
            <w:tcBorders>
              <w:right w:val="single" w:sz="6" w:space="0" w:color="auto"/>
            </w:tcBorders>
          </w:tcPr>
          <w:p w:rsidR="00C74F8C" w:rsidRDefault="00C74F8C" w:rsidP="00C74F8C">
            <w:pPr>
              <w:pStyle w:val="Default"/>
              <w:rPr>
                <w:sz w:val="22"/>
                <w:szCs w:val="22"/>
              </w:rPr>
            </w:pPr>
            <w:r>
              <w:rPr>
                <w:b/>
                <w:bCs/>
                <w:sz w:val="22"/>
                <w:szCs w:val="22"/>
              </w:rPr>
              <w:t xml:space="preserve">Purchase new equipment to enhance laboratory instruction and dispose of chemical waste from labs. </w:t>
            </w:r>
          </w:p>
          <w:p w:rsidR="00F26A57" w:rsidRDefault="00F26A57" w:rsidP="00802DA9"/>
        </w:tc>
        <w:tc>
          <w:tcPr>
            <w:tcW w:w="3294" w:type="dxa"/>
            <w:tcBorders>
              <w:left w:val="single" w:sz="6" w:space="0" w:color="auto"/>
              <w:right w:val="single" w:sz="4" w:space="0" w:color="auto"/>
            </w:tcBorders>
          </w:tcPr>
          <w:p w:rsidR="00F973D7" w:rsidRDefault="00C74F8C" w:rsidP="00F973D7">
            <w:pPr>
              <w:pStyle w:val="Default"/>
              <w:spacing w:after="70"/>
              <w:rPr>
                <w:sz w:val="22"/>
                <w:szCs w:val="22"/>
              </w:rPr>
            </w:pPr>
            <w:r w:rsidRPr="005C3036">
              <w:t>Purchase of a new analytical balance to replace old and worn balance</w:t>
            </w:r>
            <w:r w:rsidR="00D4701D">
              <w:t xml:space="preserve">. </w:t>
            </w:r>
            <w:r w:rsidR="00F973D7">
              <w:rPr>
                <w:sz w:val="22"/>
                <w:szCs w:val="22"/>
              </w:rPr>
              <w:t xml:space="preserve"> Remove chemical waste </w:t>
            </w:r>
            <w:r w:rsidR="00F973D7" w:rsidRPr="00C441CC">
              <w:rPr>
                <w:noProof/>
                <w:sz w:val="22"/>
                <w:szCs w:val="22"/>
              </w:rPr>
              <w:t>to</w:t>
            </w:r>
            <w:r w:rsidR="00F973D7">
              <w:rPr>
                <w:sz w:val="22"/>
                <w:szCs w:val="22"/>
              </w:rPr>
              <w:t xml:space="preserve"> prevent buildup of toxic material and </w:t>
            </w:r>
            <w:r w:rsidR="00F973D7">
              <w:rPr>
                <w:sz w:val="22"/>
                <w:szCs w:val="22"/>
              </w:rPr>
              <w:lastRenderedPageBreak/>
              <w:t xml:space="preserve">ensure that items </w:t>
            </w:r>
            <w:r w:rsidR="00F973D7" w:rsidRPr="00C441CC">
              <w:rPr>
                <w:noProof/>
                <w:sz w:val="22"/>
                <w:szCs w:val="22"/>
              </w:rPr>
              <w:t>are disposed of</w:t>
            </w:r>
            <w:r w:rsidR="00F973D7">
              <w:rPr>
                <w:sz w:val="22"/>
                <w:szCs w:val="22"/>
              </w:rPr>
              <w:t xml:space="preserve"> properly. </w:t>
            </w:r>
          </w:p>
          <w:p w:rsidR="00F26A57" w:rsidRPr="00E640C1" w:rsidRDefault="00F26A57" w:rsidP="00C74F8C">
            <w:pPr>
              <w:rPr>
                <w:b/>
              </w:rPr>
            </w:pPr>
          </w:p>
        </w:tc>
        <w:tc>
          <w:tcPr>
            <w:tcW w:w="3294" w:type="dxa"/>
            <w:tcBorders>
              <w:left w:val="single" w:sz="4" w:space="0" w:color="auto"/>
              <w:right w:val="single" w:sz="6" w:space="0" w:color="auto"/>
            </w:tcBorders>
          </w:tcPr>
          <w:p w:rsidR="00E640C1" w:rsidRDefault="009B536D" w:rsidP="00550A49">
            <w:r>
              <w:lastRenderedPageBreak/>
              <w:t xml:space="preserve">The department was given approval to purchase a new analytical balance. </w:t>
            </w:r>
          </w:p>
          <w:p w:rsidR="00E40A8B" w:rsidRDefault="00E40A8B" w:rsidP="00550A49"/>
          <w:p w:rsidR="00E40A8B" w:rsidRDefault="00E40A8B" w:rsidP="00550A49">
            <w:r>
              <w:t xml:space="preserve"> </w:t>
            </w:r>
          </w:p>
        </w:tc>
        <w:tc>
          <w:tcPr>
            <w:tcW w:w="3294" w:type="dxa"/>
            <w:tcBorders>
              <w:left w:val="single" w:sz="6" w:space="0" w:color="auto"/>
            </w:tcBorders>
          </w:tcPr>
          <w:p w:rsidR="00D4701D" w:rsidRDefault="00F973D7" w:rsidP="00550A49">
            <w:r w:rsidRPr="00F973D7">
              <w:t xml:space="preserve">Students in CHM 112 lab are now able to collect quantitative data in their labs, which is essential to proper treatments of kinetics and equilibrium problems. Also, the acquisition of the Vernier </w:t>
            </w:r>
            <w:r w:rsidRPr="00F973D7">
              <w:lastRenderedPageBreak/>
              <w:t>interfa</w:t>
            </w:r>
            <w:r>
              <w:t xml:space="preserve">ces and probes have allowed </w:t>
            </w:r>
            <w:r w:rsidRPr="00F973D7">
              <w:t xml:space="preserve">CHM 111 and 112 students to conduct quantitative experiments that cover more of the chemistry course. For example, </w:t>
            </w:r>
            <w:r>
              <w:t xml:space="preserve">students can now </w:t>
            </w:r>
            <w:r w:rsidRPr="00F973D7">
              <w:t xml:space="preserve">study the relationship between solvent vapor pressure and temperature (the </w:t>
            </w:r>
            <w:proofErr w:type="spellStart"/>
            <w:r w:rsidRPr="00F973D7">
              <w:t>Clausius</w:t>
            </w:r>
            <w:proofErr w:type="spellEnd"/>
            <w:r w:rsidRPr="00F973D7">
              <w:t xml:space="preserve"> </w:t>
            </w:r>
            <w:proofErr w:type="spellStart"/>
            <w:r w:rsidRPr="00F973D7">
              <w:t>Clapeyron</w:t>
            </w:r>
            <w:proofErr w:type="spellEnd"/>
            <w:r w:rsidRPr="00F973D7">
              <w:t xml:space="preserve"> experiment) which are central to the study of intermolecular forces in CHM 111. In CHM 112, </w:t>
            </w:r>
            <w:r w:rsidR="00E40A8B">
              <w:t xml:space="preserve">students </w:t>
            </w:r>
            <w:r w:rsidR="00083CA3" w:rsidRPr="00F973D7">
              <w:t>can</w:t>
            </w:r>
            <w:r w:rsidR="00083CA3">
              <w:t xml:space="preserve"> </w:t>
            </w:r>
            <w:r w:rsidR="00083CA3" w:rsidRPr="00F973D7">
              <w:t>study</w:t>
            </w:r>
            <w:r w:rsidRPr="00F973D7">
              <w:t xml:space="preserve"> the relationship between reaction rate and temperature (the Arrhenius experiment). Both of these are fundamental foundational concepts.</w:t>
            </w:r>
            <w:bookmarkStart w:id="0" w:name="_GoBack"/>
            <w:bookmarkEnd w:id="0"/>
          </w:p>
        </w:tc>
      </w:tr>
      <w:tr w:rsidR="00F26A57" w:rsidRPr="002A44E2" w:rsidTr="00550A49">
        <w:tc>
          <w:tcPr>
            <w:tcW w:w="6588" w:type="dxa"/>
            <w:gridSpan w:val="2"/>
            <w:tcBorders>
              <w:right w:val="single" w:sz="4" w:space="0" w:color="auto"/>
            </w:tcBorders>
          </w:tcPr>
          <w:p w:rsidR="00F26A57" w:rsidRPr="002A44E2" w:rsidRDefault="00F26A57" w:rsidP="00550A49">
            <w:pPr>
              <w:rPr>
                <w:sz w:val="12"/>
                <w:szCs w:val="12"/>
              </w:rPr>
            </w:pPr>
          </w:p>
          <w:p w:rsidR="00F26A57" w:rsidRPr="002A44E2" w:rsidRDefault="00F26A57" w:rsidP="00550A49">
            <w:pPr>
              <w:rPr>
                <w:b/>
                <w:sz w:val="12"/>
                <w:szCs w:val="12"/>
              </w:rPr>
            </w:pPr>
          </w:p>
          <w:p w:rsidR="00F26A57" w:rsidRDefault="00F26A57" w:rsidP="00550A49">
            <w:r>
              <w:rPr>
                <w:b/>
              </w:rPr>
              <w:t>S</w:t>
            </w:r>
            <w:r w:rsidRPr="00D554AC">
              <w:rPr>
                <w:b/>
              </w:rPr>
              <w:t>ubmission date:</w:t>
            </w:r>
            <w:r w:rsidR="00083CA3">
              <w:rPr>
                <w:b/>
              </w:rPr>
              <w:t xml:space="preserve"> September 15, 2017</w:t>
            </w:r>
          </w:p>
        </w:tc>
        <w:tc>
          <w:tcPr>
            <w:tcW w:w="6588" w:type="dxa"/>
            <w:gridSpan w:val="2"/>
            <w:tcBorders>
              <w:left w:val="single" w:sz="4" w:space="0" w:color="auto"/>
            </w:tcBorders>
          </w:tcPr>
          <w:p w:rsidR="00F26A57" w:rsidRPr="00490115" w:rsidRDefault="00F26A57" w:rsidP="00550A49">
            <w:pPr>
              <w:rPr>
                <w:sz w:val="12"/>
                <w:szCs w:val="12"/>
              </w:rPr>
            </w:pPr>
          </w:p>
          <w:p w:rsidR="00F26A57" w:rsidRPr="00490115" w:rsidRDefault="00F26A57" w:rsidP="00550A49">
            <w:pPr>
              <w:rPr>
                <w:sz w:val="12"/>
                <w:szCs w:val="12"/>
              </w:rPr>
            </w:pPr>
          </w:p>
          <w:p w:rsidR="00F26A57" w:rsidRDefault="00F26A57" w:rsidP="00550A49">
            <w:pPr>
              <w:rPr>
                <w:b/>
              </w:rPr>
            </w:pPr>
            <w:r w:rsidRPr="00102B7D">
              <w:rPr>
                <w:b/>
              </w:rPr>
              <w:t>Submitted by:</w:t>
            </w:r>
            <w:r w:rsidR="00E40A8B">
              <w:rPr>
                <w:b/>
              </w:rPr>
              <w:t xml:space="preserve"> Nakia R. Robinson</w:t>
            </w:r>
          </w:p>
          <w:p w:rsidR="00F26A57" w:rsidRPr="002A44E2" w:rsidRDefault="00F26A57" w:rsidP="00550A49">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4C2"/>
    <w:multiLevelType w:val="hybridMultilevel"/>
    <w:tmpl w:val="58D2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F8E"/>
    <w:multiLevelType w:val="hybridMultilevel"/>
    <w:tmpl w:val="A0A8C100"/>
    <w:lvl w:ilvl="0" w:tplc="63CCE9F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563A8"/>
    <w:rsid w:val="00083CA3"/>
    <w:rsid w:val="00172610"/>
    <w:rsid w:val="004C7EB5"/>
    <w:rsid w:val="00550A49"/>
    <w:rsid w:val="00802DA9"/>
    <w:rsid w:val="00831412"/>
    <w:rsid w:val="009B536D"/>
    <w:rsid w:val="009C260C"/>
    <w:rsid w:val="00C74F8C"/>
    <w:rsid w:val="00D4701D"/>
    <w:rsid w:val="00E40A8B"/>
    <w:rsid w:val="00E640C1"/>
    <w:rsid w:val="00F26A57"/>
    <w:rsid w:val="00F9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01A8"/>
  <w15:docId w15:val="{AEB52526-4DE8-48EC-9975-952CEB5C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rsid w:val="00C74F8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74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Nakia Robinson</cp:lastModifiedBy>
  <cp:revision>2</cp:revision>
  <dcterms:created xsi:type="dcterms:W3CDTF">2017-09-16T00:42:00Z</dcterms:created>
  <dcterms:modified xsi:type="dcterms:W3CDTF">2017-09-16T00:42:00Z</dcterms:modified>
</cp:coreProperties>
</file>