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086" w:rsidRDefault="00420086" w:rsidP="00420086">
      <w:r>
        <w:rPr>
          <w:noProof/>
        </w:rPr>
        <mc:AlternateContent>
          <mc:Choice Requires="wps">
            <w:drawing>
              <wp:anchor distT="0" distB="0" distL="114300" distR="114300" simplePos="0" relativeHeight="251659264" behindDoc="0" locked="0" layoutInCell="1" allowOverlap="1" wp14:anchorId="1D9DF4B2" wp14:editId="4FC10616">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rsidR="008F40A4" w:rsidRPr="0060016E" w:rsidRDefault="00466463" w:rsidP="00420086">
                            <w:pPr>
                              <w:jc w:val="center"/>
                              <w:rPr>
                                <w:b/>
                              </w:rPr>
                            </w:pPr>
                            <w:r>
                              <w:rPr>
                                <w:b/>
                              </w:rPr>
                              <w:t>Medical Laboratory Technology Goal Revisions</w:t>
                            </w:r>
                          </w:p>
                          <w:p w:rsidR="008F40A4" w:rsidRPr="0060016E" w:rsidRDefault="00466463" w:rsidP="00420086">
                            <w:pPr>
                              <w:jc w:val="center"/>
                              <w:rPr>
                                <w:b/>
                              </w:rPr>
                            </w:pPr>
                            <w:r>
                              <w:rPr>
                                <w:b/>
                              </w:rPr>
                              <w:t>2016</w:t>
                            </w:r>
                            <w:r w:rsidR="008F40A4">
                              <w:rPr>
                                <w:b/>
                              </w:rPr>
                              <w:t xml:space="preserve"> - 2017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9DF4B2"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rsidR="008F40A4" w:rsidRPr="0060016E" w:rsidRDefault="00466463" w:rsidP="00420086">
                      <w:pPr>
                        <w:jc w:val="center"/>
                        <w:rPr>
                          <w:b/>
                        </w:rPr>
                      </w:pPr>
                      <w:r>
                        <w:rPr>
                          <w:b/>
                        </w:rPr>
                        <w:t>Medical Laboratory Technology Goal Revisions</w:t>
                      </w:r>
                    </w:p>
                    <w:p w:rsidR="008F40A4" w:rsidRPr="0060016E" w:rsidRDefault="00466463" w:rsidP="00420086">
                      <w:pPr>
                        <w:jc w:val="center"/>
                        <w:rPr>
                          <w:b/>
                        </w:rPr>
                      </w:pPr>
                      <w:r>
                        <w:rPr>
                          <w:b/>
                        </w:rPr>
                        <w:t>2016</w:t>
                      </w:r>
                      <w:r w:rsidR="008F40A4">
                        <w:rPr>
                          <w:b/>
                        </w:rPr>
                        <w:t xml:space="preserve"> - 2017</w:t>
                      </w:r>
                    </w:p>
                  </w:txbxContent>
                </v:textbox>
              </v:shape>
            </w:pict>
          </mc:Fallback>
        </mc:AlternateContent>
      </w:r>
    </w:p>
    <w:p w:rsidR="00420086" w:rsidRDefault="00420086" w:rsidP="00420086"/>
    <w:p w:rsidR="00420086" w:rsidRDefault="00420086" w:rsidP="00420086"/>
    <w:p w:rsidR="00400E62" w:rsidRDefault="00400E62" w:rsidP="00BB4C08">
      <w:pPr>
        <w:rPr>
          <w:b/>
        </w:rPr>
      </w:pPr>
      <w:bookmarkStart w:id="0" w:name="_GoBack"/>
      <w:bookmarkEnd w:id="0"/>
    </w:p>
    <w:p w:rsidR="00F61765" w:rsidRDefault="00755D86" w:rsidP="00BB4C08">
      <w:pPr>
        <w:rPr>
          <w:b/>
        </w:rPr>
      </w:pPr>
      <w:r>
        <w:rPr>
          <w:b/>
        </w:rPr>
        <w:t>Unit Goals for 2016-2017</w:t>
      </w:r>
    </w:p>
    <w:tbl>
      <w:tblPr>
        <w:tblStyle w:val="TableGrid"/>
        <w:tblW w:w="0" w:type="auto"/>
        <w:tblLook w:val="04A0" w:firstRow="1" w:lastRow="0" w:firstColumn="1" w:lastColumn="0" w:noHBand="0" w:noVBand="1"/>
      </w:tblPr>
      <w:tblGrid>
        <w:gridCol w:w="2448"/>
        <w:gridCol w:w="2160"/>
        <w:gridCol w:w="1980"/>
        <w:gridCol w:w="2700"/>
      </w:tblGrid>
      <w:tr w:rsidR="002B64AF" w:rsidTr="002B64AF">
        <w:tc>
          <w:tcPr>
            <w:tcW w:w="2448" w:type="dxa"/>
          </w:tcPr>
          <w:p w:rsidR="002B64AF" w:rsidRDefault="002B64AF" w:rsidP="00B97D18">
            <w:pPr>
              <w:rPr>
                <w:b/>
              </w:rPr>
            </w:pPr>
            <w:r>
              <w:rPr>
                <w:b/>
              </w:rPr>
              <w:t>Goal</w:t>
            </w:r>
          </w:p>
        </w:tc>
        <w:tc>
          <w:tcPr>
            <w:tcW w:w="2160" w:type="dxa"/>
          </w:tcPr>
          <w:p w:rsidR="002B64AF" w:rsidRDefault="002B64AF" w:rsidP="00B97D18">
            <w:pPr>
              <w:rPr>
                <w:b/>
              </w:rPr>
            </w:pPr>
            <w:r>
              <w:rPr>
                <w:b/>
              </w:rPr>
              <w:t>Objectives</w:t>
            </w:r>
          </w:p>
        </w:tc>
        <w:tc>
          <w:tcPr>
            <w:tcW w:w="1980" w:type="dxa"/>
          </w:tcPr>
          <w:p w:rsidR="002B64AF" w:rsidRDefault="002B64AF" w:rsidP="00B97D18">
            <w:pPr>
              <w:rPr>
                <w:b/>
              </w:rPr>
            </w:pPr>
            <w:r>
              <w:rPr>
                <w:b/>
              </w:rPr>
              <w:t>Method of Assessment</w:t>
            </w:r>
          </w:p>
        </w:tc>
        <w:tc>
          <w:tcPr>
            <w:tcW w:w="2700" w:type="dxa"/>
          </w:tcPr>
          <w:p w:rsidR="002B64AF" w:rsidRDefault="002B64AF" w:rsidP="00B97D18">
            <w:pPr>
              <w:rPr>
                <w:b/>
              </w:rPr>
            </w:pPr>
            <w:r>
              <w:rPr>
                <w:b/>
              </w:rPr>
              <w:t>Additional Funding Requests</w:t>
            </w:r>
          </w:p>
        </w:tc>
      </w:tr>
      <w:tr w:rsidR="002B64AF" w:rsidRPr="004C37B5" w:rsidTr="002B64AF">
        <w:tc>
          <w:tcPr>
            <w:tcW w:w="2448" w:type="dxa"/>
          </w:tcPr>
          <w:p w:rsidR="002B64AF" w:rsidRPr="00FE6797" w:rsidRDefault="002B64AF" w:rsidP="005906D1">
            <w:r>
              <w:t>Provide necessary equipment and reagents to teach entry level skills keeping abreast with new technology.</w:t>
            </w:r>
          </w:p>
          <w:p w:rsidR="002B64AF" w:rsidRPr="005F2E8E" w:rsidRDefault="002B64AF" w:rsidP="002B64AF">
            <w:pPr>
              <w:rPr>
                <w:b/>
              </w:rPr>
            </w:pPr>
            <w:r w:rsidRPr="005F2E8E">
              <w:rPr>
                <w:b/>
              </w:rPr>
              <w:t>Program Outcome</w:t>
            </w:r>
          </w:p>
          <w:p w:rsidR="002B64AF" w:rsidRDefault="002B64AF" w:rsidP="002B64AF">
            <w:r>
              <w:t>#1. 70% of students admitted to the CLT program will complete as technically competent individuals ready to enter the laboratory workforce</w:t>
            </w:r>
          </w:p>
          <w:p w:rsidR="002B64AF" w:rsidRPr="005F2E8E" w:rsidRDefault="002B64AF" w:rsidP="002B64AF">
            <w:pPr>
              <w:rPr>
                <w:b/>
              </w:rPr>
            </w:pPr>
          </w:p>
        </w:tc>
        <w:tc>
          <w:tcPr>
            <w:tcW w:w="2160" w:type="dxa"/>
          </w:tcPr>
          <w:p w:rsidR="002B64AF" w:rsidRDefault="002B64AF" w:rsidP="00B97D18">
            <w:r>
              <w:t xml:space="preserve">1. Purchase the necessary equipment and supplies to provide high quality campus laboratory experiences. </w:t>
            </w:r>
          </w:p>
          <w:p w:rsidR="002B64AF" w:rsidRDefault="002B64AF" w:rsidP="00B97D18">
            <w:r w:rsidRPr="005A01F0">
              <w:t>2. Purchase necessary equipment for Phlebotomy certificati</w:t>
            </w:r>
            <w:r w:rsidR="005A01F0" w:rsidRPr="005A01F0">
              <w:t>on program and the addition of M</w:t>
            </w:r>
            <w:r w:rsidRPr="005A01F0">
              <w:t>LT 100 to the curriculum</w:t>
            </w:r>
          </w:p>
          <w:p w:rsidR="002B64AF" w:rsidRPr="004C37B5" w:rsidRDefault="002B64AF" w:rsidP="00B97D18">
            <w:r>
              <w:t xml:space="preserve"> </w:t>
            </w:r>
          </w:p>
        </w:tc>
        <w:tc>
          <w:tcPr>
            <w:tcW w:w="1980" w:type="dxa"/>
          </w:tcPr>
          <w:p w:rsidR="002B64AF" w:rsidRDefault="002B64AF" w:rsidP="00B97D18">
            <w:r>
              <w:t>1. 80% or more of the faculty report satisfaction with available technology resources.</w:t>
            </w:r>
          </w:p>
          <w:p w:rsidR="002B64AF" w:rsidRPr="004C37B5" w:rsidRDefault="002B64AF" w:rsidP="00B97D18">
            <w:r>
              <w:t>2. 80% or more of students report satisfaction with available resources</w:t>
            </w:r>
          </w:p>
        </w:tc>
        <w:tc>
          <w:tcPr>
            <w:tcW w:w="2700" w:type="dxa"/>
          </w:tcPr>
          <w:p w:rsidR="002B64AF" w:rsidRDefault="002B64AF" w:rsidP="00095308">
            <w:pPr>
              <w:ind w:left="-108"/>
            </w:pPr>
            <w:r>
              <w:t>1. Maintain Expendable supply budget</w:t>
            </w:r>
          </w:p>
          <w:p w:rsidR="002B64AF" w:rsidRDefault="005A01F0" w:rsidP="00095308">
            <w:pPr>
              <w:ind w:left="-108"/>
            </w:pPr>
            <w:r>
              <w:t>$22</w:t>
            </w:r>
            <w:r w:rsidR="002B64AF">
              <w:t>,000.00</w:t>
            </w:r>
            <w:r>
              <w:t xml:space="preserve"> to include expendables to support MLT 100 Phlebotomy and MLT clinic days each semester.</w:t>
            </w:r>
          </w:p>
          <w:p w:rsidR="004A19A7" w:rsidRDefault="004F1C06" w:rsidP="004A19A7">
            <w:pPr>
              <w:ind w:left="-108"/>
            </w:pPr>
            <w:r w:rsidRPr="005A01F0">
              <w:t xml:space="preserve">2. </w:t>
            </w:r>
            <w:r w:rsidR="004A19A7">
              <w:t>Purchase one replacement laptop for mobile units.</w:t>
            </w:r>
          </w:p>
          <w:p w:rsidR="004A19A7" w:rsidRDefault="004A19A7" w:rsidP="00095308">
            <w:pPr>
              <w:ind w:left="-108"/>
            </w:pPr>
            <w:r>
              <w:t>Estimated cost $1778.41</w:t>
            </w:r>
          </w:p>
          <w:p w:rsidR="004F1C06" w:rsidRPr="005A01F0" w:rsidRDefault="004A19A7" w:rsidP="00095308">
            <w:pPr>
              <w:ind w:left="-108"/>
            </w:pPr>
            <w:r>
              <w:t xml:space="preserve">3. </w:t>
            </w:r>
            <w:r w:rsidR="004F1C06" w:rsidRPr="005A01F0">
              <w:t xml:space="preserve">Service on 3 Monza’s </w:t>
            </w:r>
          </w:p>
          <w:p w:rsidR="004F1C06" w:rsidRPr="005A01F0" w:rsidRDefault="004F1C06" w:rsidP="00095308">
            <w:pPr>
              <w:ind w:left="-108"/>
            </w:pPr>
            <w:r w:rsidRPr="005A01F0">
              <w:t>$3823.20</w:t>
            </w:r>
          </w:p>
          <w:p w:rsidR="002B64AF" w:rsidRDefault="004A19A7" w:rsidP="00095308">
            <w:pPr>
              <w:ind w:left="-108"/>
            </w:pPr>
            <w:r>
              <w:t xml:space="preserve">4. </w:t>
            </w:r>
            <w:r w:rsidR="002B64AF" w:rsidRPr="005A01F0">
              <w:t>Purchase  reagent</w:t>
            </w:r>
            <w:r w:rsidR="002B64AF">
              <w:t xml:space="preserve"> storage refrigerator</w:t>
            </w:r>
          </w:p>
          <w:p w:rsidR="00730821" w:rsidRDefault="00816808" w:rsidP="00730821">
            <w:pPr>
              <w:ind w:left="-108"/>
            </w:pPr>
            <w:r>
              <w:t>Estimated cost of $3,380.00</w:t>
            </w:r>
          </w:p>
          <w:p w:rsidR="00730821" w:rsidRDefault="00730821" w:rsidP="00730821">
            <w:pPr>
              <w:ind w:left="-108"/>
            </w:pPr>
            <w:r>
              <w:t xml:space="preserve">5. </w:t>
            </w:r>
            <w:r w:rsidRPr="00730821">
              <w:rPr>
                <w:rFonts w:eastAsiaTheme="minorEastAsia"/>
                <w:sz w:val="24"/>
                <w:szCs w:val="24"/>
              </w:rPr>
              <w:t>To begin preparations for possible clinical rotations brought into campus lab</w:t>
            </w:r>
            <w:r>
              <w:t xml:space="preserve"> purchase a </w:t>
            </w:r>
          </w:p>
          <w:p w:rsidR="00730821" w:rsidRDefault="00730821" w:rsidP="00730821">
            <w:pPr>
              <w:ind w:left="-108"/>
              <w:rPr>
                <w:rFonts w:eastAsiaTheme="minorEastAsia"/>
                <w:sz w:val="24"/>
                <w:szCs w:val="24"/>
              </w:rPr>
            </w:pPr>
            <w:r>
              <w:t xml:space="preserve">a. </w:t>
            </w:r>
            <w:r w:rsidRPr="00730821">
              <w:rPr>
                <w:rFonts w:eastAsiaTheme="minorEastAsia"/>
                <w:sz w:val="24"/>
                <w:szCs w:val="24"/>
              </w:rPr>
              <w:t>Laboratory Information system for entering in p</w:t>
            </w:r>
            <w:r>
              <w:rPr>
                <w:rFonts w:eastAsiaTheme="minorEastAsia"/>
                <w:sz w:val="24"/>
                <w:szCs w:val="24"/>
              </w:rPr>
              <w:t xml:space="preserve">atient demographics, data and </w:t>
            </w:r>
            <w:r w:rsidRPr="00730821">
              <w:rPr>
                <w:rFonts w:eastAsiaTheme="minorEastAsia"/>
                <w:sz w:val="24"/>
                <w:szCs w:val="24"/>
              </w:rPr>
              <w:t xml:space="preserve">to include bar code label system </w:t>
            </w:r>
          </w:p>
          <w:p w:rsidR="00730821" w:rsidRDefault="00730821" w:rsidP="00730821">
            <w:pPr>
              <w:ind w:left="-108"/>
              <w:rPr>
                <w:rFonts w:eastAsiaTheme="minorEastAsia"/>
                <w:sz w:val="24"/>
                <w:szCs w:val="24"/>
              </w:rPr>
            </w:pPr>
            <w:r w:rsidRPr="00730821">
              <w:rPr>
                <w:rFonts w:eastAsiaTheme="minorEastAsia"/>
                <w:sz w:val="24"/>
                <w:szCs w:val="24"/>
              </w:rPr>
              <w:t>cost approx. 25,000-30,000</w:t>
            </w:r>
          </w:p>
          <w:p w:rsidR="00730821" w:rsidRDefault="00730821" w:rsidP="00730821">
            <w:pPr>
              <w:ind w:left="-108"/>
              <w:rPr>
                <w:rFonts w:eastAsiaTheme="minorEastAsia"/>
                <w:sz w:val="24"/>
                <w:szCs w:val="24"/>
              </w:rPr>
            </w:pPr>
            <w:r>
              <w:rPr>
                <w:rFonts w:eastAsiaTheme="minorEastAsia"/>
                <w:sz w:val="24"/>
                <w:szCs w:val="24"/>
              </w:rPr>
              <w:t>b</w:t>
            </w:r>
            <w:r w:rsidRPr="00730821">
              <w:rPr>
                <w:rFonts w:eastAsiaTheme="minorEastAsia"/>
                <w:sz w:val="24"/>
                <w:szCs w:val="24"/>
              </w:rPr>
              <w:t>. Cell washer 10,639.41</w:t>
            </w:r>
          </w:p>
          <w:p w:rsidR="00730821" w:rsidRDefault="00730821" w:rsidP="00730821">
            <w:pPr>
              <w:ind w:left="-108"/>
              <w:rPr>
                <w:rFonts w:eastAsiaTheme="minorEastAsia"/>
                <w:sz w:val="24"/>
                <w:szCs w:val="24"/>
              </w:rPr>
            </w:pPr>
            <w:r>
              <w:rPr>
                <w:rFonts w:eastAsiaTheme="minorEastAsia"/>
                <w:sz w:val="24"/>
                <w:szCs w:val="24"/>
              </w:rPr>
              <w:t>c</w:t>
            </w:r>
            <w:r w:rsidRPr="00730821">
              <w:rPr>
                <w:rFonts w:eastAsiaTheme="minorEastAsia"/>
                <w:sz w:val="24"/>
                <w:szCs w:val="24"/>
              </w:rPr>
              <w:t>. Additional MTS system 6,822.66</w:t>
            </w:r>
          </w:p>
          <w:p w:rsidR="00730821" w:rsidRDefault="00730821" w:rsidP="00730821">
            <w:pPr>
              <w:ind w:left="-108"/>
              <w:rPr>
                <w:rFonts w:eastAsiaTheme="minorEastAsia"/>
                <w:sz w:val="24"/>
                <w:szCs w:val="24"/>
              </w:rPr>
            </w:pPr>
            <w:r>
              <w:rPr>
                <w:rFonts w:eastAsiaTheme="minorEastAsia"/>
                <w:sz w:val="24"/>
                <w:szCs w:val="24"/>
              </w:rPr>
              <w:t>d</w:t>
            </w:r>
            <w:r w:rsidRPr="00730821">
              <w:rPr>
                <w:rFonts w:eastAsiaTheme="minorEastAsia"/>
                <w:sz w:val="24"/>
                <w:szCs w:val="24"/>
              </w:rPr>
              <w:t>. 8 MTS pipets 4,200</w:t>
            </w:r>
          </w:p>
          <w:p w:rsidR="00730821" w:rsidRPr="00730821" w:rsidRDefault="00730821" w:rsidP="00730821">
            <w:pPr>
              <w:ind w:left="-108"/>
              <w:rPr>
                <w:rFonts w:eastAsiaTheme="minorEastAsia"/>
                <w:sz w:val="24"/>
                <w:szCs w:val="24"/>
              </w:rPr>
            </w:pPr>
            <w:r>
              <w:rPr>
                <w:rFonts w:eastAsiaTheme="minorEastAsia"/>
                <w:sz w:val="24"/>
                <w:szCs w:val="24"/>
              </w:rPr>
              <w:t>e</w:t>
            </w:r>
            <w:r w:rsidRPr="00730821">
              <w:rPr>
                <w:rFonts w:eastAsiaTheme="minorEastAsia"/>
                <w:sz w:val="24"/>
                <w:szCs w:val="24"/>
              </w:rPr>
              <w:t>. Red cell Reagents 1,000</w:t>
            </w:r>
          </w:p>
          <w:p w:rsidR="00730821" w:rsidRDefault="00730821" w:rsidP="004A19A7">
            <w:pPr>
              <w:ind w:left="-108"/>
            </w:pPr>
          </w:p>
          <w:p w:rsidR="004A19A7" w:rsidRPr="004A19A7" w:rsidRDefault="00730821" w:rsidP="004A19A7">
            <w:pPr>
              <w:ind w:left="-108"/>
            </w:pPr>
            <w:r>
              <w:t>6</w:t>
            </w:r>
            <w:r w:rsidR="00816808">
              <w:t xml:space="preserve">. </w:t>
            </w:r>
            <w:r w:rsidR="004A19A7" w:rsidRPr="004A19A7">
              <w:rPr>
                <w:rFonts w:eastAsiaTheme="minorEastAsia"/>
              </w:rPr>
              <w:t>Additional Phlebotomy training equipment</w:t>
            </w:r>
          </w:p>
          <w:p w:rsidR="004A19A7" w:rsidRDefault="004A19A7" w:rsidP="004A19A7">
            <w:pPr>
              <w:pStyle w:val="ListParagraph"/>
              <w:ind w:left="0"/>
              <w:rPr>
                <w:rFonts w:eastAsiaTheme="minorEastAsia"/>
              </w:rPr>
            </w:pPr>
            <w:r>
              <w:rPr>
                <w:rFonts w:eastAsiaTheme="minorEastAsia"/>
              </w:rPr>
              <w:lastRenderedPageBreak/>
              <w:t>a</w:t>
            </w:r>
            <w:r w:rsidRPr="004A19A7">
              <w:rPr>
                <w:rFonts w:eastAsiaTheme="minorEastAsia"/>
              </w:rPr>
              <w:t>. I.V. poles</w:t>
            </w:r>
            <w:r>
              <w:rPr>
                <w:rFonts w:eastAsiaTheme="minorEastAsia"/>
              </w:rPr>
              <w:t xml:space="preserve"> for Phlebotomy Blood Bags (12)</w:t>
            </w:r>
            <w:r w:rsidRPr="004A19A7">
              <w:rPr>
                <w:rFonts w:eastAsiaTheme="minorEastAsia"/>
              </w:rPr>
              <w:t>$151.00 each  $1812.00</w:t>
            </w:r>
          </w:p>
          <w:p w:rsidR="004A19A7" w:rsidRDefault="004A19A7" w:rsidP="004A19A7">
            <w:pPr>
              <w:pStyle w:val="ListParagraph"/>
              <w:ind w:left="0"/>
              <w:rPr>
                <w:rFonts w:eastAsiaTheme="minorEastAsia"/>
              </w:rPr>
            </w:pPr>
            <w:r>
              <w:rPr>
                <w:rFonts w:eastAsiaTheme="minorEastAsia"/>
              </w:rPr>
              <w:t>b. Pediatric Venous trainer $460.00</w:t>
            </w:r>
          </w:p>
          <w:p w:rsidR="004A19A7" w:rsidRDefault="004A19A7" w:rsidP="004A19A7">
            <w:pPr>
              <w:pStyle w:val="ListParagraph"/>
              <w:ind w:left="0"/>
              <w:rPr>
                <w:rFonts w:eastAsiaTheme="minorEastAsia"/>
                <w:sz w:val="24"/>
                <w:szCs w:val="24"/>
              </w:rPr>
            </w:pPr>
            <w:r>
              <w:rPr>
                <w:rFonts w:eastAsiaTheme="minorEastAsia"/>
              </w:rPr>
              <w:t xml:space="preserve">c. Infant IV arm </w:t>
            </w:r>
            <w:r w:rsidRPr="004A19A7">
              <w:rPr>
                <w:rFonts w:eastAsiaTheme="minorEastAsia"/>
                <w:sz w:val="24"/>
                <w:szCs w:val="24"/>
              </w:rPr>
              <w:t>$231.00</w:t>
            </w:r>
          </w:p>
          <w:p w:rsidR="004A19A7" w:rsidRDefault="004A19A7" w:rsidP="004A19A7">
            <w:pPr>
              <w:pStyle w:val="ListParagraph"/>
              <w:ind w:left="0"/>
              <w:rPr>
                <w:rFonts w:eastAsiaTheme="minorEastAsia"/>
                <w:sz w:val="24"/>
                <w:szCs w:val="24"/>
              </w:rPr>
            </w:pPr>
            <w:r>
              <w:rPr>
                <w:rFonts w:eastAsiaTheme="minorEastAsia"/>
                <w:sz w:val="24"/>
                <w:szCs w:val="24"/>
              </w:rPr>
              <w:t xml:space="preserve">d. (2) IV hand trainers </w:t>
            </w:r>
            <w:r w:rsidRPr="004A19A7">
              <w:rPr>
                <w:rFonts w:eastAsiaTheme="minorEastAsia"/>
                <w:sz w:val="24"/>
                <w:szCs w:val="24"/>
              </w:rPr>
              <w:t>$392.00</w:t>
            </w:r>
          </w:p>
          <w:p w:rsidR="004A19A7" w:rsidRDefault="004A19A7" w:rsidP="004A19A7">
            <w:pPr>
              <w:pStyle w:val="ListParagraph"/>
              <w:ind w:left="0"/>
              <w:rPr>
                <w:rFonts w:eastAsiaTheme="minorEastAsia"/>
                <w:sz w:val="24"/>
                <w:szCs w:val="24"/>
              </w:rPr>
            </w:pPr>
            <w:r>
              <w:rPr>
                <w:rFonts w:eastAsiaTheme="minorEastAsia"/>
                <w:sz w:val="24"/>
                <w:szCs w:val="24"/>
              </w:rPr>
              <w:t>e. infant heel simulators $232.00</w:t>
            </w:r>
          </w:p>
          <w:p w:rsidR="00730821" w:rsidRDefault="00730821" w:rsidP="00730821">
            <w:pPr>
              <w:pStyle w:val="ListParagraph"/>
              <w:ind w:left="0"/>
              <w:rPr>
                <w:rFonts w:eastAsiaTheme="minorEastAsia"/>
                <w:sz w:val="24"/>
                <w:szCs w:val="24"/>
              </w:rPr>
            </w:pPr>
            <w:r>
              <w:rPr>
                <w:rFonts w:eastAsiaTheme="minorEastAsia"/>
                <w:sz w:val="24"/>
                <w:szCs w:val="24"/>
              </w:rPr>
              <w:t xml:space="preserve">e. AED trainer – </w:t>
            </w:r>
            <w:r w:rsidR="004A19A7" w:rsidRPr="004A19A7">
              <w:rPr>
                <w:rFonts w:eastAsiaTheme="minorEastAsia"/>
                <w:sz w:val="24"/>
                <w:szCs w:val="24"/>
              </w:rPr>
              <w:t>$680.65</w:t>
            </w:r>
          </w:p>
          <w:p w:rsidR="00730821" w:rsidRDefault="00730821" w:rsidP="00730821">
            <w:pPr>
              <w:pStyle w:val="ListParagraph"/>
              <w:ind w:left="0"/>
              <w:rPr>
                <w:rFonts w:eastAsiaTheme="minorEastAsia"/>
                <w:sz w:val="24"/>
                <w:szCs w:val="24"/>
              </w:rPr>
            </w:pPr>
            <w:r>
              <w:rPr>
                <w:rFonts w:eastAsiaTheme="minorEastAsia"/>
                <w:sz w:val="24"/>
                <w:szCs w:val="24"/>
              </w:rPr>
              <w:t>f</w:t>
            </w:r>
            <w:r w:rsidR="004A19A7" w:rsidRPr="004A19A7">
              <w:rPr>
                <w:rFonts w:eastAsiaTheme="minorEastAsia"/>
                <w:sz w:val="24"/>
                <w:szCs w:val="24"/>
              </w:rPr>
              <w:t>. Adul</w:t>
            </w:r>
            <w:r>
              <w:rPr>
                <w:rFonts w:eastAsiaTheme="minorEastAsia"/>
                <w:sz w:val="24"/>
                <w:szCs w:val="24"/>
              </w:rPr>
              <w:t xml:space="preserve">t and pediatric bag masks -  </w:t>
            </w:r>
            <w:r w:rsidR="004A19A7" w:rsidRPr="004A19A7">
              <w:rPr>
                <w:rFonts w:eastAsiaTheme="minorEastAsia"/>
                <w:sz w:val="24"/>
                <w:szCs w:val="24"/>
              </w:rPr>
              <w:t>$700.00</w:t>
            </w:r>
          </w:p>
          <w:p w:rsidR="004A19A7" w:rsidRPr="004A19A7" w:rsidRDefault="00730821" w:rsidP="00730821">
            <w:pPr>
              <w:pStyle w:val="ListParagraph"/>
              <w:ind w:left="0"/>
              <w:rPr>
                <w:rFonts w:eastAsiaTheme="minorEastAsia"/>
              </w:rPr>
            </w:pPr>
            <w:r>
              <w:rPr>
                <w:rFonts w:eastAsiaTheme="minorEastAsia"/>
                <w:sz w:val="24"/>
                <w:szCs w:val="24"/>
              </w:rPr>
              <w:t>g.</w:t>
            </w:r>
            <w:r w:rsidR="004A19A7" w:rsidRPr="004A19A7">
              <w:rPr>
                <w:rFonts w:eastAsiaTheme="minorEastAsia"/>
                <w:sz w:val="24"/>
                <w:szCs w:val="24"/>
              </w:rPr>
              <w:t xml:space="preserve"> Adult</w:t>
            </w:r>
            <w:r>
              <w:rPr>
                <w:rFonts w:eastAsiaTheme="minorEastAsia"/>
                <w:sz w:val="24"/>
                <w:szCs w:val="24"/>
              </w:rPr>
              <w:t xml:space="preserve"> and infant practice chests </w:t>
            </w:r>
            <w:r w:rsidR="004A19A7" w:rsidRPr="004A19A7">
              <w:rPr>
                <w:rFonts w:eastAsiaTheme="minorEastAsia"/>
                <w:sz w:val="24"/>
                <w:szCs w:val="24"/>
              </w:rPr>
              <w:t>$1305.00</w:t>
            </w:r>
          </w:p>
          <w:p w:rsidR="004A19A7" w:rsidRPr="004A19A7" w:rsidRDefault="004A19A7" w:rsidP="004A19A7">
            <w:pPr>
              <w:ind w:left="1440"/>
              <w:contextualSpacing/>
              <w:rPr>
                <w:rFonts w:eastAsiaTheme="minorEastAsia"/>
                <w:sz w:val="24"/>
                <w:szCs w:val="24"/>
              </w:rPr>
            </w:pPr>
          </w:p>
          <w:p w:rsidR="004B45CE" w:rsidRPr="004C37B5" w:rsidRDefault="004B45CE" w:rsidP="004A19A7">
            <w:pPr>
              <w:ind w:left="-108"/>
            </w:pPr>
          </w:p>
        </w:tc>
      </w:tr>
      <w:tr w:rsidR="00816808" w:rsidRPr="004C37B5" w:rsidTr="002B64AF">
        <w:tc>
          <w:tcPr>
            <w:tcW w:w="2448" w:type="dxa"/>
          </w:tcPr>
          <w:p w:rsidR="00816808" w:rsidRDefault="00816808" w:rsidP="005906D1">
            <w:r>
              <w:lastRenderedPageBreak/>
              <w:t>Provide necessary technology and student labs to support the MLT100 phlebotomy addition</w:t>
            </w:r>
          </w:p>
          <w:p w:rsidR="00816808" w:rsidRDefault="00816808" w:rsidP="005906D1">
            <w:pPr>
              <w:rPr>
                <w:b/>
              </w:rPr>
            </w:pPr>
            <w:r>
              <w:rPr>
                <w:b/>
              </w:rPr>
              <w:t>College Action Priorities</w:t>
            </w:r>
          </w:p>
          <w:p w:rsidR="00816808" w:rsidRDefault="00816808" w:rsidP="005906D1">
            <w:pPr>
              <w:rPr>
                <w:b/>
              </w:rPr>
            </w:pPr>
            <w:r>
              <w:rPr>
                <w:b/>
              </w:rPr>
              <w:t xml:space="preserve">#2 </w:t>
            </w:r>
          </w:p>
          <w:p w:rsidR="00816808" w:rsidRPr="00816808" w:rsidRDefault="00816808" w:rsidP="005906D1">
            <w:r w:rsidRPr="00816808">
              <w:t>Improve and advance college programs and units, including both academic and workforce development activities</w:t>
            </w:r>
          </w:p>
          <w:p w:rsidR="00816808" w:rsidRDefault="00816808" w:rsidP="005906D1">
            <w:pPr>
              <w:rPr>
                <w:b/>
              </w:rPr>
            </w:pPr>
            <w:r>
              <w:rPr>
                <w:b/>
              </w:rPr>
              <w:t>#5</w:t>
            </w:r>
          </w:p>
          <w:p w:rsidR="00816808" w:rsidRDefault="00816808" w:rsidP="005906D1">
            <w:r w:rsidRPr="00816808">
              <w:t>Improve students college experiences and expand student resources for suc</w:t>
            </w:r>
            <w:r w:rsidR="00544D74">
              <w:t>c</w:t>
            </w:r>
            <w:r w:rsidRPr="00816808">
              <w:t>ess</w:t>
            </w:r>
          </w:p>
          <w:p w:rsidR="004A19A7" w:rsidRDefault="004A19A7" w:rsidP="005906D1">
            <w:pPr>
              <w:rPr>
                <w:b/>
              </w:rPr>
            </w:pPr>
          </w:p>
          <w:p w:rsidR="004A19A7" w:rsidRPr="004A19A7" w:rsidRDefault="004A19A7" w:rsidP="004A19A7">
            <w:pPr>
              <w:rPr>
                <w:b/>
              </w:rPr>
            </w:pPr>
            <w:r>
              <w:rPr>
                <w:b/>
              </w:rPr>
              <w:t>NAACLS Standard III.C.</w:t>
            </w:r>
          </w:p>
          <w:p w:rsidR="004A19A7" w:rsidRPr="004A19A7" w:rsidRDefault="004A19A7" w:rsidP="004A19A7">
            <w:pPr>
              <w:autoSpaceDE w:val="0"/>
              <w:autoSpaceDN w:val="0"/>
              <w:adjustRightInd w:val="0"/>
              <w:rPr>
                <w:rFonts w:cs="Arial"/>
                <w:color w:val="000000"/>
              </w:rPr>
            </w:pPr>
            <w:r w:rsidRPr="004A19A7">
              <w:rPr>
                <w:rFonts w:cs="Arial"/>
                <w:color w:val="000000"/>
              </w:rPr>
              <w:t xml:space="preserve">Physical Resources </w:t>
            </w:r>
          </w:p>
          <w:p w:rsidR="004A19A7" w:rsidRPr="00816808" w:rsidRDefault="004A19A7" w:rsidP="004A19A7">
            <w:r w:rsidRPr="004A19A7">
              <w:rPr>
                <w:rFonts w:cs="Arial"/>
                <w:color w:val="000000"/>
              </w:rPr>
              <w:t>Physical resources such as facilities, equipment and supplies, information resources, and instructional resources sufficient to achieve the</w:t>
            </w:r>
            <w:r w:rsidRPr="004A19A7">
              <w:rPr>
                <w:rFonts w:ascii="Arial" w:hAnsi="Arial" w:cs="Arial"/>
                <w:color w:val="000000"/>
                <w:sz w:val="23"/>
                <w:szCs w:val="23"/>
              </w:rPr>
              <w:t xml:space="preserve"> program goals.</w:t>
            </w:r>
          </w:p>
        </w:tc>
        <w:tc>
          <w:tcPr>
            <w:tcW w:w="2160" w:type="dxa"/>
          </w:tcPr>
          <w:p w:rsidR="00816808" w:rsidRDefault="00816808" w:rsidP="00B97D18">
            <w:r>
              <w:t>1. Upgrade the room facilities in GLB 233 for phlebotomy training to include new technology and student workstations.</w:t>
            </w:r>
          </w:p>
          <w:p w:rsidR="004A19A7" w:rsidRDefault="004A19A7" w:rsidP="00B97D18">
            <w:r>
              <w:t>2. Provide for additional equipment storage space to support the addition of MLT100</w:t>
            </w:r>
          </w:p>
        </w:tc>
        <w:tc>
          <w:tcPr>
            <w:tcW w:w="1980" w:type="dxa"/>
          </w:tcPr>
          <w:p w:rsidR="00544D74" w:rsidRDefault="00544D74" w:rsidP="00544D74">
            <w:r>
              <w:t>1. 80% or more of the faculty report satisfaction with available technology resources.</w:t>
            </w:r>
          </w:p>
          <w:p w:rsidR="00816808" w:rsidRDefault="00544D74" w:rsidP="00544D74">
            <w:r>
              <w:t>2. 80% or more of students report satisfaction with available resources</w:t>
            </w:r>
          </w:p>
        </w:tc>
        <w:tc>
          <w:tcPr>
            <w:tcW w:w="2700" w:type="dxa"/>
          </w:tcPr>
          <w:p w:rsidR="00816808" w:rsidRPr="005A01F0" w:rsidRDefault="00544D74" w:rsidP="00816808">
            <w:pPr>
              <w:ind w:left="-108"/>
            </w:pPr>
            <w:r>
              <w:t>1</w:t>
            </w:r>
            <w:r w:rsidR="00816808" w:rsidRPr="005A01F0">
              <w:t>. Make necessary upgrades in GLB 233 to support the addition of MLT 100 (Phlebotomy).We are asking to update the instructional technology and student workbenches to make it uniform with the updated MLT Labs in GLB 228 and 231.</w:t>
            </w:r>
          </w:p>
          <w:p w:rsidR="00816808" w:rsidRPr="005A01F0" w:rsidRDefault="00816808" w:rsidP="00816808">
            <w:pPr>
              <w:ind w:left="-108"/>
            </w:pPr>
            <w:r w:rsidRPr="005A01F0">
              <w:t>Estimated cost:</w:t>
            </w:r>
          </w:p>
          <w:p w:rsidR="00816808" w:rsidRPr="005A01F0" w:rsidRDefault="00816808" w:rsidP="00816808">
            <w:pPr>
              <w:ind w:left="-108"/>
            </w:pPr>
            <w:r w:rsidRPr="005A01F0">
              <w:t>Technology $4600.00</w:t>
            </w:r>
          </w:p>
          <w:p w:rsidR="00816808" w:rsidRDefault="00816808" w:rsidP="00816808">
            <w:pPr>
              <w:ind w:left="-108"/>
            </w:pPr>
            <w:r w:rsidRPr="005A01F0">
              <w:t>Workbenches and chairs$15,000.00</w:t>
            </w:r>
          </w:p>
          <w:p w:rsidR="00816808" w:rsidRDefault="00816808" w:rsidP="00816808">
            <w:pPr>
              <w:ind w:left="-108"/>
            </w:pPr>
            <w:r>
              <w:t>Students benefiting from this improvement include MLT students as well as Non-Credit Phlebotomy and Certified Medical Assistants</w:t>
            </w:r>
          </w:p>
          <w:p w:rsidR="004A19A7" w:rsidRDefault="004A19A7" w:rsidP="00816808">
            <w:pPr>
              <w:ind w:left="-108"/>
            </w:pPr>
          </w:p>
          <w:p w:rsidR="00816808" w:rsidRDefault="004A19A7" w:rsidP="00095308">
            <w:pPr>
              <w:ind w:left="-108"/>
            </w:pPr>
            <w:r>
              <w:t xml:space="preserve">2. </w:t>
            </w:r>
            <w:r w:rsidRPr="004A19A7">
              <w:t>Request additional storage space for equipment and program files. These files need to be in a locked area per NAACLS Guidelines. GLB 029B is a locked area that is not being used by the Biomedical program in the basement of GLB</w:t>
            </w:r>
            <w:r>
              <w:t xml:space="preserve">. The MLT </w:t>
            </w:r>
            <w:r>
              <w:lastRenderedPageBreak/>
              <w:t>department is requesting this space.</w:t>
            </w:r>
          </w:p>
        </w:tc>
      </w:tr>
      <w:tr w:rsidR="002B64AF" w:rsidTr="002B64AF">
        <w:tc>
          <w:tcPr>
            <w:tcW w:w="2448" w:type="dxa"/>
          </w:tcPr>
          <w:p w:rsidR="002B64AF" w:rsidRDefault="002B64AF" w:rsidP="00293308">
            <w:r w:rsidRPr="00FE6797">
              <w:lastRenderedPageBreak/>
              <w:t>Monitor student progress</w:t>
            </w:r>
            <w:r>
              <w:t xml:space="preserve"> with online tools that will enhance competency within the curriculum.</w:t>
            </w:r>
          </w:p>
          <w:p w:rsidR="002B64AF" w:rsidRPr="00D92E19" w:rsidRDefault="002B64AF" w:rsidP="002B64AF">
            <w:pPr>
              <w:rPr>
                <w:b/>
              </w:rPr>
            </w:pPr>
            <w:r w:rsidRPr="00D92E19">
              <w:rPr>
                <w:b/>
              </w:rPr>
              <w:t>Program Outcome</w:t>
            </w:r>
          </w:p>
          <w:p w:rsidR="002B64AF" w:rsidRPr="005906D1" w:rsidRDefault="002B64AF" w:rsidP="00293308">
            <w:r>
              <w:t>#2. Graduates will take the ASCP BOC national certification exam with a pass rate at or above the NAACLS benchmark of 75%</w:t>
            </w:r>
          </w:p>
        </w:tc>
        <w:tc>
          <w:tcPr>
            <w:tcW w:w="2160" w:type="dxa"/>
          </w:tcPr>
          <w:p w:rsidR="002B64AF" w:rsidRDefault="002B64AF" w:rsidP="00293308">
            <w:r>
              <w:t>1. To increase the number of students passing a national certification exam</w:t>
            </w:r>
          </w:p>
          <w:p w:rsidR="002B64AF" w:rsidRDefault="002B64AF" w:rsidP="00293308"/>
          <w:p w:rsidR="002B64AF" w:rsidRDefault="002B64AF" w:rsidP="00293308"/>
          <w:p w:rsidR="002B64AF" w:rsidRDefault="002B64AF" w:rsidP="00293308"/>
          <w:p w:rsidR="002B64AF" w:rsidRDefault="002B64AF" w:rsidP="00293308"/>
          <w:p w:rsidR="002B64AF" w:rsidRDefault="002B64AF" w:rsidP="00293308"/>
          <w:p w:rsidR="002B64AF" w:rsidRDefault="002B64AF" w:rsidP="00293308"/>
          <w:p w:rsidR="002B64AF" w:rsidRDefault="002B64AF" w:rsidP="00293308"/>
        </w:tc>
        <w:tc>
          <w:tcPr>
            <w:tcW w:w="1980" w:type="dxa"/>
          </w:tcPr>
          <w:p w:rsidR="002B64AF" w:rsidRPr="00D92E19" w:rsidRDefault="002B64AF" w:rsidP="00293308">
            <w:pPr>
              <w:rPr>
                <w:i/>
              </w:rPr>
            </w:pPr>
            <w:r w:rsidRPr="00D92E19">
              <w:rPr>
                <w:i/>
              </w:rPr>
              <w:t>1. ASCP BOC certification statistics at or above the NAACLS benchmark of 75%</w:t>
            </w:r>
          </w:p>
          <w:p w:rsidR="002B64AF" w:rsidRPr="00D92E19" w:rsidRDefault="002B64AF" w:rsidP="00293308">
            <w:pPr>
              <w:rPr>
                <w:i/>
              </w:rPr>
            </w:pPr>
          </w:p>
          <w:p w:rsidR="002B64AF" w:rsidRPr="00D92E19" w:rsidRDefault="002B64AF" w:rsidP="00293308">
            <w:pPr>
              <w:rPr>
                <w:i/>
              </w:rPr>
            </w:pPr>
          </w:p>
          <w:p w:rsidR="002B64AF" w:rsidRPr="00D92E19" w:rsidRDefault="002B64AF" w:rsidP="00293308">
            <w:pPr>
              <w:rPr>
                <w:i/>
              </w:rPr>
            </w:pPr>
          </w:p>
          <w:p w:rsidR="002B64AF" w:rsidRPr="00D92E19" w:rsidRDefault="002B64AF" w:rsidP="00293308">
            <w:pPr>
              <w:rPr>
                <w:i/>
              </w:rPr>
            </w:pPr>
          </w:p>
          <w:p w:rsidR="002B64AF" w:rsidRPr="00D92E19" w:rsidRDefault="002B64AF" w:rsidP="00293308">
            <w:pPr>
              <w:rPr>
                <w:i/>
              </w:rPr>
            </w:pPr>
          </w:p>
          <w:p w:rsidR="002B64AF" w:rsidRPr="00D92E19" w:rsidRDefault="002B64AF" w:rsidP="00293308">
            <w:pPr>
              <w:rPr>
                <w:i/>
              </w:rPr>
            </w:pPr>
          </w:p>
        </w:tc>
        <w:tc>
          <w:tcPr>
            <w:tcW w:w="2700" w:type="dxa"/>
          </w:tcPr>
          <w:p w:rsidR="002B64AF" w:rsidRPr="006E4A65" w:rsidRDefault="002B64AF" w:rsidP="00293308">
            <w:r w:rsidRPr="006E4A65">
              <w:t xml:space="preserve">1. ASCP BOC testing report </w:t>
            </w:r>
          </w:p>
          <w:p w:rsidR="002B64AF" w:rsidRPr="006E4A65" w:rsidRDefault="002B64AF" w:rsidP="00293308">
            <w:r w:rsidRPr="006E4A65">
              <w:t xml:space="preserve">Cost:  $125.00 per year. </w:t>
            </w:r>
          </w:p>
          <w:p w:rsidR="002B64AF" w:rsidRPr="006E4A65" w:rsidRDefault="002B64AF" w:rsidP="00293308">
            <w:r w:rsidRPr="006E4A65">
              <w:t xml:space="preserve">2. Medtraining training subscription </w:t>
            </w:r>
          </w:p>
          <w:p w:rsidR="002B64AF" w:rsidRDefault="002B64AF" w:rsidP="00293308">
            <w:r w:rsidRPr="006E4A65">
              <w:t>Cost: $1,</w:t>
            </w:r>
            <w:r w:rsidR="004C47E5">
              <w:t>315.00</w:t>
            </w:r>
            <w:r w:rsidRPr="006E4A65">
              <w:t xml:space="preserve"> yearly</w:t>
            </w:r>
          </w:p>
          <w:p w:rsidR="002B64AF" w:rsidRDefault="002B64AF" w:rsidP="00293308">
            <w:r>
              <w:t>3. NAACLS Accreditation yearly fees $1913.00</w:t>
            </w:r>
          </w:p>
        </w:tc>
      </w:tr>
      <w:tr w:rsidR="002B64AF" w:rsidTr="002B64AF">
        <w:tc>
          <w:tcPr>
            <w:tcW w:w="2448" w:type="dxa"/>
          </w:tcPr>
          <w:p w:rsidR="002B64AF" w:rsidRDefault="002B64AF" w:rsidP="005906D1">
            <w:r>
              <w:t>Keep abreast of changes and trends in the Laboratory Science profession to improve classroom instruction.</w:t>
            </w:r>
          </w:p>
          <w:p w:rsidR="002B64AF" w:rsidRDefault="002B64AF" w:rsidP="002B64AF">
            <w:pPr>
              <w:rPr>
                <w:rFonts w:eastAsia="Times New Roman" w:cs="Arial"/>
              </w:rPr>
            </w:pPr>
            <w:r w:rsidRPr="00D87587">
              <w:rPr>
                <w:b/>
              </w:rPr>
              <w:t>NAACLS Standard</w:t>
            </w:r>
            <w:r>
              <w:rPr>
                <w:b/>
              </w:rPr>
              <w:t>s</w:t>
            </w:r>
            <w:r>
              <w:t xml:space="preserve"> </w:t>
            </w:r>
            <w:r w:rsidRPr="00D87587">
              <w:rPr>
                <w:rFonts w:eastAsia="Times New Roman" w:cs="Arial"/>
              </w:rPr>
              <w:t xml:space="preserve">NAACLS standard VII.A.2.C. </w:t>
            </w:r>
            <w:r w:rsidRPr="00D87587">
              <w:rPr>
                <w:rFonts w:eastAsia="Times New Roman" w:cs="Arial"/>
                <w:b/>
              </w:rPr>
              <w:t>The program coordinator</w:t>
            </w:r>
            <w:r>
              <w:rPr>
                <w:rFonts w:eastAsia="Times New Roman" w:cs="Arial"/>
              </w:rPr>
              <w:t xml:space="preserve"> must show</w:t>
            </w:r>
          </w:p>
          <w:p w:rsidR="002B64AF" w:rsidRPr="00D87587" w:rsidRDefault="002B64AF" w:rsidP="002B64AF">
            <w:r w:rsidRPr="00D87587">
              <w:rPr>
                <w:rFonts w:eastAsia="Times New Roman" w:cs="Arial"/>
              </w:rPr>
              <w:t xml:space="preserve">documentation of 36 CEU hours over each 3 year period. </w:t>
            </w:r>
          </w:p>
          <w:p w:rsidR="002B64AF" w:rsidRPr="00D87587" w:rsidRDefault="002B64AF" w:rsidP="002B64AF">
            <w:pPr>
              <w:pStyle w:val="Default"/>
              <w:rPr>
                <w:rFonts w:asciiTheme="minorHAnsi" w:hAnsiTheme="minorHAnsi"/>
                <w:sz w:val="22"/>
                <w:szCs w:val="22"/>
              </w:rPr>
            </w:pPr>
            <w:r>
              <w:rPr>
                <w:rFonts w:asciiTheme="minorHAnsi" w:hAnsiTheme="minorHAnsi"/>
                <w:sz w:val="22"/>
                <w:szCs w:val="22"/>
              </w:rPr>
              <w:t>Standard VII.2.c.</w:t>
            </w:r>
          </w:p>
          <w:p w:rsidR="002B64AF" w:rsidRPr="00D87587" w:rsidRDefault="002B64AF" w:rsidP="002B64AF">
            <w:pPr>
              <w:pStyle w:val="Default"/>
              <w:rPr>
                <w:rFonts w:asciiTheme="minorHAnsi" w:hAnsiTheme="minorHAnsi"/>
                <w:b/>
                <w:sz w:val="22"/>
                <w:szCs w:val="22"/>
              </w:rPr>
            </w:pPr>
            <w:r w:rsidRPr="00D87587">
              <w:rPr>
                <w:rFonts w:asciiTheme="minorHAnsi" w:hAnsiTheme="minorHAnsi"/>
                <w:b/>
                <w:sz w:val="22"/>
                <w:szCs w:val="22"/>
              </w:rPr>
              <w:t>Di</w:t>
            </w:r>
            <w:r>
              <w:rPr>
                <w:rFonts w:asciiTheme="minorHAnsi" w:hAnsiTheme="minorHAnsi"/>
                <w:b/>
                <w:sz w:val="22"/>
                <w:szCs w:val="22"/>
              </w:rPr>
              <w:t xml:space="preserve">dactic Instructor Appointments </w:t>
            </w:r>
          </w:p>
          <w:p w:rsidR="002B64AF" w:rsidRDefault="002B64AF" w:rsidP="002B64AF">
            <w:r w:rsidRPr="00D87587">
              <w:t>The program must have qualified faculty/instructors</w:t>
            </w:r>
            <w:r>
              <w:t>.</w:t>
            </w:r>
            <w:r w:rsidRPr="00D87587">
              <w:t xml:space="preserve">  The program must ensure and document ongoing professional development of th</w:t>
            </w:r>
            <w:r>
              <w:t>e program faculty/instructors.</w:t>
            </w:r>
          </w:p>
          <w:p w:rsidR="00544D74" w:rsidRDefault="00544D74" w:rsidP="002B64AF">
            <w:pPr>
              <w:rPr>
                <w:b/>
              </w:rPr>
            </w:pPr>
            <w:r>
              <w:rPr>
                <w:b/>
              </w:rPr>
              <w:t>College Action Prioirty #3</w:t>
            </w:r>
          </w:p>
          <w:p w:rsidR="00544D74" w:rsidRPr="00544D74" w:rsidRDefault="00544D74" w:rsidP="002B64AF">
            <w:r>
              <w:t>Increase Professional Development opportunities for faculty and staff.</w:t>
            </w:r>
          </w:p>
        </w:tc>
        <w:tc>
          <w:tcPr>
            <w:tcW w:w="2160" w:type="dxa"/>
          </w:tcPr>
          <w:p w:rsidR="002B64AF" w:rsidRDefault="002B64AF" w:rsidP="00293308">
            <w:r>
              <w:t>1. Provide the CLT full-time faculty the opportunity to obtain professional development.</w:t>
            </w:r>
          </w:p>
        </w:tc>
        <w:tc>
          <w:tcPr>
            <w:tcW w:w="1980" w:type="dxa"/>
          </w:tcPr>
          <w:p w:rsidR="002B64AF" w:rsidRPr="00D92E19" w:rsidRDefault="002B64AF" w:rsidP="00293308">
            <w:r w:rsidRPr="00D92E19">
              <w:t>1. Meets NAACLS continuing education standards for accreditation</w:t>
            </w:r>
          </w:p>
        </w:tc>
        <w:tc>
          <w:tcPr>
            <w:tcW w:w="2700" w:type="dxa"/>
          </w:tcPr>
          <w:p w:rsidR="002B64AF" w:rsidRDefault="002B64AF" w:rsidP="00293308">
            <w:r>
              <w:t xml:space="preserve">1. Program Coordinator or Clinical Coordinator to attend </w:t>
            </w:r>
            <w:r w:rsidRPr="006E4A65">
              <w:t>CLEC</w:t>
            </w:r>
            <w:r>
              <w:t>.</w:t>
            </w:r>
            <w:r w:rsidRPr="006E4A65">
              <w:t xml:space="preserve"> </w:t>
            </w:r>
            <w:r>
              <w:t>Site to be determined.</w:t>
            </w:r>
          </w:p>
          <w:p w:rsidR="002B64AF" w:rsidRDefault="002B64AF" w:rsidP="00293308">
            <w:r w:rsidRPr="006E4A65">
              <w:t xml:space="preserve">Estimated cost of </w:t>
            </w:r>
            <w:r>
              <w:t xml:space="preserve"> $1,700.00</w:t>
            </w:r>
          </w:p>
          <w:p w:rsidR="002B64AF" w:rsidRDefault="002B64AF" w:rsidP="00293308">
            <w:r>
              <w:t>2. Program Coordinator or Clinical Coordinator</w:t>
            </w:r>
          </w:p>
          <w:p w:rsidR="002B64AF" w:rsidRDefault="002B64AF" w:rsidP="00293308">
            <w:r>
              <w:t>To attend CEU offering not to exceed $500.00 for IAP</w:t>
            </w:r>
          </w:p>
        </w:tc>
      </w:tr>
      <w:tr w:rsidR="002B64AF" w:rsidTr="002B64AF">
        <w:tc>
          <w:tcPr>
            <w:tcW w:w="2448" w:type="dxa"/>
          </w:tcPr>
          <w:p w:rsidR="0039114C" w:rsidRPr="00725514" w:rsidRDefault="0039114C" w:rsidP="0039114C">
            <w:r w:rsidRPr="00725514">
              <w:t xml:space="preserve">Continue to develop and implement written Student Learning Outcomes (SLOs) for all courses in the department to more </w:t>
            </w:r>
            <w:r w:rsidRPr="00725514">
              <w:lastRenderedPageBreak/>
              <w:t>adequately document and enhance reporting of student progress in the department.</w:t>
            </w:r>
          </w:p>
          <w:p w:rsidR="0039114C" w:rsidRDefault="0039114C" w:rsidP="003A1296">
            <w:pPr>
              <w:rPr>
                <w:b/>
              </w:rPr>
            </w:pPr>
          </w:p>
          <w:p w:rsidR="002B64AF" w:rsidRPr="007B149C" w:rsidRDefault="002B64AF" w:rsidP="003A1296">
            <w:pPr>
              <w:rPr>
                <w:b/>
              </w:rPr>
            </w:pPr>
            <w:r w:rsidRPr="007B149C">
              <w:rPr>
                <w:b/>
              </w:rPr>
              <w:t>Program Outcome</w:t>
            </w:r>
          </w:p>
          <w:p w:rsidR="002B64AF" w:rsidRDefault="002B64AF" w:rsidP="003A1296">
            <w:r w:rsidRPr="007B149C">
              <w:t>#4. Employers and graduates returning surveys will report 85% satisfaction with educational preparation</w:t>
            </w:r>
          </w:p>
          <w:p w:rsidR="00544D74" w:rsidRDefault="00544D74" w:rsidP="003A1296">
            <w:pPr>
              <w:rPr>
                <w:b/>
              </w:rPr>
            </w:pPr>
            <w:r>
              <w:rPr>
                <w:b/>
              </w:rPr>
              <w:t>College Action Priority #4</w:t>
            </w:r>
          </w:p>
          <w:p w:rsidR="00544D74" w:rsidRPr="00544D74" w:rsidRDefault="00544D74" w:rsidP="003A1296">
            <w:r>
              <w:t>Increase visibility and promote communication both inside and outside of the college</w:t>
            </w:r>
          </w:p>
        </w:tc>
        <w:tc>
          <w:tcPr>
            <w:tcW w:w="2160" w:type="dxa"/>
          </w:tcPr>
          <w:p w:rsidR="002B64AF" w:rsidRDefault="002B64AF" w:rsidP="003A1296">
            <w:r>
              <w:lastRenderedPageBreak/>
              <w:t xml:space="preserve"> 1. Review SLOs annually and revise as necessary based upon input from faculty, graduates, employers, and </w:t>
            </w:r>
            <w:r>
              <w:lastRenderedPageBreak/>
              <w:t>advisory committee members.</w:t>
            </w:r>
          </w:p>
          <w:p w:rsidR="002B64AF" w:rsidRDefault="002B64AF" w:rsidP="003A1296"/>
        </w:tc>
        <w:tc>
          <w:tcPr>
            <w:tcW w:w="1980" w:type="dxa"/>
          </w:tcPr>
          <w:p w:rsidR="002B64AF" w:rsidRDefault="002B64AF" w:rsidP="003A1296">
            <w:r>
              <w:lastRenderedPageBreak/>
              <w:t>1. 80% of students surveyed will agree that outcomes are met.</w:t>
            </w:r>
          </w:p>
          <w:p w:rsidR="002B64AF" w:rsidRDefault="002B64AF" w:rsidP="003A1296">
            <w:r>
              <w:t xml:space="preserve">2. 80% of employers </w:t>
            </w:r>
            <w:r>
              <w:lastRenderedPageBreak/>
              <w:t>surveyed will agree that outcomes are met.</w:t>
            </w:r>
          </w:p>
          <w:p w:rsidR="002B64AF" w:rsidRDefault="002B64AF" w:rsidP="003A1296">
            <w:r>
              <w:t xml:space="preserve">3. Annual programmatic review of the outcomes assessment plan which incorporates surveys of employers, graduates, and advisory committee  </w:t>
            </w:r>
          </w:p>
          <w:p w:rsidR="002B64AF" w:rsidRDefault="002B64AF" w:rsidP="003A1296"/>
        </w:tc>
        <w:tc>
          <w:tcPr>
            <w:tcW w:w="2700" w:type="dxa"/>
          </w:tcPr>
          <w:p w:rsidR="002B64AF" w:rsidRDefault="002B64AF" w:rsidP="003A1296">
            <w:r>
              <w:lastRenderedPageBreak/>
              <w:t>1. Funding for annual advisory meeting</w:t>
            </w:r>
          </w:p>
          <w:p w:rsidR="002B64AF" w:rsidRDefault="004C47E5" w:rsidP="003A1296">
            <w:r>
              <w:t>Estimated cost: $175</w:t>
            </w:r>
            <w:r w:rsidR="002B64AF">
              <w:t>.00</w:t>
            </w:r>
          </w:p>
          <w:p w:rsidR="002B64AF" w:rsidRDefault="002B64AF" w:rsidP="003A1296"/>
          <w:p w:rsidR="002B64AF" w:rsidRDefault="002B64AF" w:rsidP="003A1296"/>
        </w:tc>
      </w:tr>
      <w:tr w:rsidR="000F229F" w:rsidTr="002B64AF">
        <w:tc>
          <w:tcPr>
            <w:tcW w:w="2448" w:type="dxa"/>
          </w:tcPr>
          <w:p w:rsidR="000F229F" w:rsidRPr="005A01F0" w:rsidRDefault="000F229F" w:rsidP="009D3D8B">
            <w:r w:rsidRPr="005A01F0">
              <w:lastRenderedPageBreak/>
              <w:t>Develop contracts with additional healthcare settings</w:t>
            </w:r>
            <w:r w:rsidR="00802338" w:rsidRPr="005A01F0">
              <w:t xml:space="preserve"> to increase the number of student enrollment</w:t>
            </w:r>
            <w:r w:rsidR="002E2CF1" w:rsidRPr="005A01F0">
              <w:t xml:space="preserve"> in the program</w:t>
            </w:r>
            <w:r w:rsidR="004F1C06" w:rsidRPr="005A01F0">
              <w:t>.</w:t>
            </w:r>
          </w:p>
          <w:p w:rsidR="009D3D8B" w:rsidRPr="005A01F0" w:rsidRDefault="009D3D8B" w:rsidP="009D3D8B">
            <w:pPr>
              <w:rPr>
                <w:b/>
              </w:rPr>
            </w:pPr>
            <w:r w:rsidRPr="005A01F0">
              <w:rPr>
                <w:b/>
              </w:rPr>
              <w:t>Program Outcome</w:t>
            </w:r>
          </w:p>
          <w:p w:rsidR="009D3D8B" w:rsidRDefault="009D3D8B" w:rsidP="009D3D8B">
            <w:r w:rsidRPr="005A01F0">
              <w:t>#1. 7</w:t>
            </w:r>
            <w:r w:rsidR="005A01F0" w:rsidRPr="005A01F0">
              <w:t>0% of students admitted to the M</w:t>
            </w:r>
            <w:r w:rsidRPr="005A01F0">
              <w:t>LT program will complete as technically competent individuals ready to enter the laboratory workforce</w:t>
            </w:r>
            <w:r w:rsidR="00544D74">
              <w:t>.</w:t>
            </w:r>
          </w:p>
          <w:p w:rsidR="00544D74" w:rsidRDefault="00544D74" w:rsidP="00544D74">
            <w:pPr>
              <w:rPr>
                <w:b/>
              </w:rPr>
            </w:pPr>
            <w:r>
              <w:rPr>
                <w:b/>
              </w:rPr>
              <w:t>College Action Priority #4</w:t>
            </w:r>
          </w:p>
          <w:p w:rsidR="00544D74" w:rsidRPr="005A01F0" w:rsidRDefault="00544D74" w:rsidP="00544D74">
            <w:r>
              <w:t>Increase visibility and promote communication both inside and outside of the college</w:t>
            </w:r>
          </w:p>
        </w:tc>
        <w:tc>
          <w:tcPr>
            <w:tcW w:w="2160" w:type="dxa"/>
          </w:tcPr>
          <w:p w:rsidR="00802338" w:rsidRPr="005A01F0" w:rsidRDefault="00802338" w:rsidP="00802338">
            <w:r w:rsidRPr="005A01F0">
              <w:t>1. Maintain clinical affiliations with area hospitals</w:t>
            </w:r>
            <w:r w:rsidR="005A01F0" w:rsidRPr="005A01F0">
              <w:t xml:space="preserve"> and clinics</w:t>
            </w:r>
            <w:r w:rsidRPr="005A01F0">
              <w:t>.</w:t>
            </w:r>
          </w:p>
          <w:p w:rsidR="000F229F" w:rsidRPr="005A01F0" w:rsidRDefault="00802338" w:rsidP="00802338">
            <w:r w:rsidRPr="005A01F0">
              <w:t xml:space="preserve">2. Initiate contact with large clinics </w:t>
            </w:r>
            <w:r w:rsidR="005A01F0" w:rsidRPr="005A01F0">
              <w:t xml:space="preserve">and free standing Emergency Departments </w:t>
            </w:r>
            <w:r w:rsidRPr="005A01F0">
              <w:t>for possible core lab clinical rotations</w:t>
            </w:r>
            <w:r w:rsidR="005A01F0" w:rsidRPr="005A01F0">
              <w:t xml:space="preserve"> as well as phlebotomy rotations</w:t>
            </w:r>
          </w:p>
        </w:tc>
        <w:tc>
          <w:tcPr>
            <w:tcW w:w="1980" w:type="dxa"/>
          </w:tcPr>
          <w:p w:rsidR="000F229F" w:rsidRPr="005A01F0" w:rsidRDefault="000F229F" w:rsidP="009D3D8B">
            <w:r w:rsidRPr="005A01F0">
              <w:t>1. Clinical agencies will be sufficient to provide enrolled students with diverse and plentiful opportunities.</w:t>
            </w:r>
          </w:p>
          <w:p w:rsidR="000F229F" w:rsidRPr="005A01F0" w:rsidRDefault="000F229F" w:rsidP="009D3D8B"/>
          <w:p w:rsidR="000F229F" w:rsidRPr="005A01F0" w:rsidRDefault="000F229F" w:rsidP="009D3D8B">
            <w:r w:rsidRPr="005A01F0">
              <w:t>2. Maintain clinical relationships</w:t>
            </w:r>
          </w:p>
        </w:tc>
        <w:tc>
          <w:tcPr>
            <w:tcW w:w="2700" w:type="dxa"/>
          </w:tcPr>
          <w:p w:rsidR="000F229F" w:rsidRPr="005A01F0" w:rsidRDefault="00802338" w:rsidP="009D3D8B">
            <w:r w:rsidRPr="005A01F0">
              <w:t>1.</w:t>
            </w:r>
            <w:r w:rsidR="000F229F" w:rsidRPr="005A01F0">
              <w:t xml:space="preserve"> Faculty travel expenses </w:t>
            </w:r>
          </w:p>
          <w:p w:rsidR="000F229F" w:rsidRPr="005A01F0" w:rsidRDefault="000F229F" w:rsidP="009D3D8B">
            <w:r w:rsidRPr="005A01F0">
              <w:t xml:space="preserve">Estimated cost:  $1,500.00 </w:t>
            </w:r>
          </w:p>
        </w:tc>
      </w:tr>
      <w:tr w:rsidR="007E3999" w:rsidTr="002B64AF">
        <w:tc>
          <w:tcPr>
            <w:tcW w:w="2448" w:type="dxa"/>
          </w:tcPr>
          <w:p w:rsidR="007E3999" w:rsidRDefault="007E3999" w:rsidP="007E3999">
            <w:pPr>
              <w:rPr>
                <w:b/>
              </w:rPr>
            </w:pPr>
            <w:r>
              <w:rPr>
                <w:b/>
              </w:rPr>
              <w:t>College Action Priorities</w:t>
            </w:r>
          </w:p>
          <w:p w:rsidR="007E3999" w:rsidRDefault="007E3999" w:rsidP="007E3999">
            <w:pPr>
              <w:rPr>
                <w:b/>
              </w:rPr>
            </w:pPr>
            <w:r>
              <w:rPr>
                <w:b/>
              </w:rPr>
              <w:t xml:space="preserve">#2 </w:t>
            </w:r>
          </w:p>
          <w:p w:rsidR="007E3999" w:rsidRPr="00816808" w:rsidRDefault="007E3999" w:rsidP="007E3999">
            <w:r w:rsidRPr="00816808">
              <w:t>Improve and advance college programs and units, including both academic and workforce development activities</w:t>
            </w:r>
          </w:p>
          <w:p w:rsidR="007E3999" w:rsidRDefault="007E3999" w:rsidP="007E3999">
            <w:pPr>
              <w:rPr>
                <w:b/>
              </w:rPr>
            </w:pPr>
            <w:r>
              <w:rPr>
                <w:b/>
              </w:rPr>
              <w:t>#5</w:t>
            </w:r>
          </w:p>
          <w:p w:rsidR="007E3999" w:rsidRDefault="007E3999" w:rsidP="007E3999">
            <w:r w:rsidRPr="00816808">
              <w:t xml:space="preserve">Improve students college experiences and expand student </w:t>
            </w:r>
            <w:r w:rsidRPr="00816808">
              <w:lastRenderedPageBreak/>
              <w:t>resources for suc</w:t>
            </w:r>
            <w:r>
              <w:t>c</w:t>
            </w:r>
            <w:r w:rsidRPr="00816808">
              <w:t>ess</w:t>
            </w:r>
          </w:p>
          <w:p w:rsidR="007E3999" w:rsidRPr="005A01F0" w:rsidRDefault="007E3999" w:rsidP="009D3D8B"/>
        </w:tc>
        <w:tc>
          <w:tcPr>
            <w:tcW w:w="2160" w:type="dxa"/>
          </w:tcPr>
          <w:p w:rsidR="007E3999" w:rsidRDefault="007E3999" w:rsidP="00802338">
            <w:r>
              <w:lastRenderedPageBreak/>
              <w:t xml:space="preserve">1. Maintain l-19 staff to help cover additional sections of lecture and labs due to better retention methods in the MLT program. </w:t>
            </w:r>
          </w:p>
          <w:p w:rsidR="007E3999" w:rsidRPr="005A01F0" w:rsidRDefault="007E3999" w:rsidP="00802338">
            <w:r>
              <w:t xml:space="preserve"> 2. Maintain L-19 staff to help provide additional supervision for </w:t>
            </w:r>
            <w:r>
              <w:lastRenderedPageBreak/>
              <w:t xml:space="preserve">phlebotomy student rotations. </w:t>
            </w:r>
          </w:p>
        </w:tc>
        <w:tc>
          <w:tcPr>
            <w:tcW w:w="1980" w:type="dxa"/>
          </w:tcPr>
          <w:p w:rsidR="007E3999" w:rsidRPr="005A01F0" w:rsidRDefault="007E3999" w:rsidP="009D3D8B">
            <w:r>
              <w:lastRenderedPageBreak/>
              <w:t xml:space="preserve">1. Staffing will be sufficient to cover increased lab sections especially during the fall semester. This will allow full time faculty the ability to provide additional supervision to the </w:t>
            </w:r>
            <w:r>
              <w:lastRenderedPageBreak/>
              <w:t>phlebotomy component of the MLT program</w:t>
            </w:r>
          </w:p>
        </w:tc>
        <w:tc>
          <w:tcPr>
            <w:tcW w:w="2700" w:type="dxa"/>
          </w:tcPr>
          <w:p w:rsidR="007E3999" w:rsidRDefault="007E3999" w:rsidP="009D3D8B">
            <w:r>
              <w:lastRenderedPageBreak/>
              <w:t>1. Hire 2 additional L-19 MLT instructors at $26.00 per hour</w:t>
            </w:r>
          </w:p>
          <w:p w:rsidR="007E3999" w:rsidRPr="005A01F0" w:rsidRDefault="007E3999" w:rsidP="009D3D8B">
            <w:r>
              <w:t>2. Hire 2 additional L-19 lab instructors at $21.00 per hour</w:t>
            </w:r>
          </w:p>
        </w:tc>
      </w:tr>
    </w:tbl>
    <w:p w:rsidR="00636CFD" w:rsidRPr="00BB4C08" w:rsidRDefault="00636CFD" w:rsidP="00BB4C08">
      <w:pPr>
        <w:rPr>
          <w:b/>
        </w:rPr>
      </w:pPr>
    </w:p>
    <w:sectPr w:rsidR="00636CFD" w:rsidRPr="00BB4C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551" w:rsidRDefault="00706551" w:rsidP="007D08A3">
      <w:pPr>
        <w:spacing w:after="0" w:line="240" w:lineRule="auto"/>
      </w:pPr>
      <w:r>
        <w:separator/>
      </w:r>
    </w:p>
  </w:endnote>
  <w:endnote w:type="continuationSeparator" w:id="0">
    <w:p w:rsidR="00706551" w:rsidRDefault="00706551"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0A4" w:rsidRDefault="008F40A4" w:rsidP="007D08A3">
    <w:pPr>
      <w:pStyle w:val="Footer"/>
      <w:jc w:val="right"/>
    </w:pPr>
    <w:r>
      <w:t>June 2012</w:t>
    </w:r>
  </w:p>
  <w:p w:rsidR="008F40A4" w:rsidRDefault="008F40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551" w:rsidRDefault="00706551" w:rsidP="007D08A3">
      <w:pPr>
        <w:spacing w:after="0" w:line="240" w:lineRule="auto"/>
      </w:pPr>
      <w:r>
        <w:separator/>
      </w:r>
    </w:p>
  </w:footnote>
  <w:footnote w:type="continuationSeparator" w:id="0">
    <w:p w:rsidR="00706551" w:rsidRDefault="00706551"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364941"/>
    <w:multiLevelType w:val="hybridMultilevel"/>
    <w:tmpl w:val="E73E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C2A1B"/>
    <w:multiLevelType w:val="hybridMultilevel"/>
    <w:tmpl w:val="9D30E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D03BDD"/>
    <w:multiLevelType w:val="hybridMultilevel"/>
    <w:tmpl w:val="B21E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B47DD7"/>
    <w:multiLevelType w:val="hybridMultilevel"/>
    <w:tmpl w:val="CBCC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BC069C"/>
    <w:multiLevelType w:val="hybridMultilevel"/>
    <w:tmpl w:val="4CA4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1"/>
  </w:num>
  <w:num w:numId="5">
    <w:abstractNumId w:val="7"/>
  </w:num>
  <w:num w:numId="6">
    <w:abstractNumId w:val="4"/>
  </w:num>
  <w:num w:numId="7">
    <w:abstractNumId w:val="6"/>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9F"/>
    <w:rsid w:val="000554D9"/>
    <w:rsid w:val="00086D68"/>
    <w:rsid w:val="00095308"/>
    <w:rsid w:val="000A7774"/>
    <w:rsid w:val="000C353B"/>
    <w:rsid w:val="000D0741"/>
    <w:rsid w:val="000E465F"/>
    <w:rsid w:val="000E643B"/>
    <w:rsid w:val="000F229F"/>
    <w:rsid w:val="00110434"/>
    <w:rsid w:val="001558BB"/>
    <w:rsid w:val="001B0C3A"/>
    <w:rsid w:val="001D13DD"/>
    <w:rsid w:val="001D5E10"/>
    <w:rsid w:val="0022410F"/>
    <w:rsid w:val="00225B09"/>
    <w:rsid w:val="002348B0"/>
    <w:rsid w:val="00250F56"/>
    <w:rsid w:val="00293308"/>
    <w:rsid w:val="002A030D"/>
    <w:rsid w:val="002A27A4"/>
    <w:rsid w:val="002B64AF"/>
    <w:rsid w:val="002E2CF1"/>
    <w:rsid w:val="00315680"/>
    <w:rsid w:val="00354644"/>
    <w:rsid w:val="0039114C"/>
    <w:rsid w:val="003A1296"/>
    <w:rsid w:val="003B2506"/>
    <w:rsid w:val="003D208A"/>
    <w:rsid w:val="00400E62"/>
    <w:rsid w:val="00420086"/>
    <w:rsid w:val="00422F10"/>
    <w:rsid w:val="0043689D"/>
    <w:rsid w:val="00466463"/>
    <w:rsid w:val="00481035"/>
    <w:rsid w:val="004A1220"/>
    <w:rsid w:val="004A19A7"/>
    <w:rsid w:val="004A629F"/>
    <w:rsid w:val="004B45CE"/>
    <w:rsid w:val="004C1C41"/>
    <w:rsid w:val="004C3D15"/>
    <w:rsid w:val="004C47E5"/>
    <w:rsid w:val="004F1C06"/>
    <w:rsid w:val="005237E5"/>
    <w:rsid w:val="00544D74"/>
    <w:rsid w:val="00557DB5"/>
    <w:rsid w:val="005861AA"/>
    <w:rsid w:val="005906D1"/>
    <w:rsid w:val="00597988"/>
    <w:rsid w:val="005A01F0"/>
    <w:rsid w:val="005C16FC"/>
    <w:rsid w:val="005D2495"/>
    <w:rsid w:val="005F2E8E"/>
    <w:rsid w:val="00632821"/>
    <w:rsid w:val="00636CFD"/>
    <w:rsid w:val="00673D06"/>
    <w:rsid w:val="006D210C"/>
    <w:rsid w:val="00706551"/>
    <w:rsid w:val="00730821"/>
    <w:rsid w:val="00755D86"/>
    <w:rsid w:val="007B149C"/>
    <w:rsid w:val="007D08A3"/>
    <w:rsid w:val="007E3999"/>
    <w:rsid w:val="00802338"/>
    <w:rsid w:val="008031B6"/>
    <w:rsid w:val="00816808"/>
    <w:rsid w:val="008562DE"/>
    <w:rsid w:val="008B1658"/>
    <w:rsid w:val="008F40A4"/>
    <w:rsid w:val="009850EB"/>
    <w:rsid w:val="009916BB"/>
    <w:rsid w:val="009A44EA"/>
    <w:rsid w:val="009D3D8B"/>
    <w:rsid w:val="00AE6467"/>
    <w:rsid w:val="00AF43FA"/>
    <w:rsid w:val="00B07F53"/>
    <w:rsid w:val="00B96259"/>
    <w:rsid w:val="00B97D18"/>
    <w:rsid w:val="00BA40CC"/>
    <w:rsid w:val="00BB4C08"/>
    <w:rsid w:val="00BC31DB"/>
    <w:rsid w:val="00C30FD5"/>
    <w:rsid w:val="00C6158B"/>
    <w:rsid w:val="00C664F5"/>
    <w:rsid w:val="00C91ABF"/>
    <w:rsid w:val="00C964B4"/>
    <w:rsid w:val="00CB56DD"/>
    <w:rsid w:val="00CD5154"/>
    <w:rsid w:val="00D72659"/>
    <w:rsid w:val="00D8523B"/>
    <w:rsid w:val="00D87587"/>
    <w:rsid w:val="00D92E19"/>
    <w:rsid w:val="00DE2E9B"/>
    <w:rsid w:val="00ED281B"/>
    <w:rsid w:val="00F02476"/>
    <w:rsid w:val="00F514BC"/>
    <w:rsid w:val="00F61765"/>
    <w:rsid w:val="00FB5550"/>
    <w:rsid w:val="00FC3CB4"/>
    <w:rsid w:val="00FD4B4D"/>
    <w:rsid w:val="00FE6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714B0"/>
  <w15:docId w15:val="{2EA3D18F-965A-41DC-903A-92638A1FE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paragraph" w:styleId="TOAHeading">
    <w:name w:val="toa heading"/>
    <w:basedOn w:val="Normal"/>
    <w:next w:val="Normal"/>
    <w:semiHidden/>
    <w:rsid w:val="00250F56"/>
    <w:pPr>
      <w:widowControl w:val="0"/>
      <w:tabs>
        <w:tab w:val="right" w:pos="9360"/>
      </w:tabs>
      <w:suppressAutoHyphens/>
      <w:spacing w:after="0" w:line="240" w:lineRule="auto"/>
    </w:pPr>
    <w:rPr>
      <w:rFonts w:ascii="Arial" w:eastAsia="Times New Roman" w:hAnsi="Arial" w:cs="Times New Roman"/>
      <w:snapToGrid w:val="0"/>
      <w:sz w:val="20"/>
      <w:szCs w:val="20"/>
    </w:rPr>
  </w:style>
  <w:style w:type="table" w:styleId="TableGrid">
    <w:name w:val="Table Grid"/>
    <w:basedOn w:val="TableNormal"/>
    <w:uiPriority w:val="59"/>
    <w:rsid w:val="00250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758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74019">
      <w:bodyDiv w:val="1"/>
      <w:marLeft w:val="0"/>
      <w:marRight w:val="0"/>
      <w:marTop w:val="0"/>
      <w:marBottom w:val="0"/>
      <w:divBdr>
        <w:top w:val="none" w:sz="0" w:space="0" w:color="auto"/>
        <w:left w:val="none" w:sz="0" w:space="0" w:color="auto"/>
        <w:bottom w:val="none" w:sz="0" w:space="0" w:color="auto"/>
        <w:right w:val="none" w:sz="0" w:space="0" w:color="auto"/>
      </w:divBdr>
    </w:div>
    <w:div w:id="640231683">
      <w:bodyDiv w:val="1"/>
      <w:marLeft w:val="0"/>
      <w:marRight w:val="0"/>
      <w:marTop w:val="0"/>
      <w:marBottom w:val="0"/>
      <w:divBdr>
        <w:top w:val="none" w:sz="0" w:space="0" w:color="auto"/>
        <w:left w:val="none" w:sz="0" w:space="0" w:color="auto"/>
        <w:bottom w:val="none" w:sz="0" w:space="0" w:color="auto"/>
        <w:right w:val="none" w:sz="0" w:space="0" w:color="auto"/>
      </w:divBdr>
    </w:div>
    <w:div w:id="174590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Norma Bell</cp:lastModifiedBy>
  <cp:revision>2</cp:revision>
  <cp:lastPrinted>2016-07-13T13:28:00Z</cp:lastPrinted>
  <dcterms:created xsi:type="dcterms:W3CDTF">2016-09-13T17:25:00Z</dcterms:created>
  <dcterms:modified xsi:type="dcterms:W3CDTF">2016-09-13T17:25:00Z</dcterms:modified>
</cp:coreProperties>
</file>