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F26A57" w:rsidRPr="00B81C69" w14:paraId="7ACA661B" w14:textId="77777777" w:rsidTr="00313D0E">
        <w:tc>
          <w:tcPr>
            <w:tcW w:w="6588" w:type="dxa"/>
          </w:tcPr>
          <w:p w14:paraId="7ACA6619" w14:textId="77777777" w:rsidR="00F26A57" w:rsidRPr="00B81C69" w:rsidRDefault="00F26A57" w:rsidP="004A776E">
            <w:pPr>
              <w:rPr>
                <w:b/>
                <w:sz w:val="24"/>
                <w:szCs w:val="24"/>
              </w:rPr>
            </w:pPr>
            <w:r>
              <w:rPr>
                <w:noProof/>
              </w:rPr>
              <w:drawing>
                <wp:inline distT="0" distB="0" distL="0" distR="0" wp14:anchorId="7ACA6654" wp14:editId="7ACA6655">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7ACA661A" w14:textId="77777777" w:rsidR="00F26A57" w:rsidRPr="00490115" w:rsidRDefault="00F26A57" w:rsidP="004A776E">
            <w:pPr>
              <w:jc w:val="right"/>
              <w:rPr>
                <w:b/>
                <w:sz w:val="36"/>
                <w:szCs w:val="36"/>
              </w:rPr>
            </w:pPr>
            <w:r w:rsidRPr="00490115">
              <w:rPr>
                <w:b/>
                <w:sz w:val="36"/>
                <w:szCs w:val="36"/>
              </w:rPr>
              <w:t>Goal Progress Report</w:t>
            </w:r>
          </w:p>
        </w:tc>
      </w:tr>
    </w:tbl>
    <w:p w14:paraId="680EA11A" w14:textId="167BE8D2" w:rsidR="0064135C" w:rsidRDefault="00C0081E">
      <w:pPr>
        <w:rPr>
          <w:sz w:val="28"/>
          <w:szCs w:val="28"/>
          <w:u w:val="single"/>
        </w:rPr>
      </w:pPr>
      <w:r>
        <w:rPr>
          <w:b/>
          <w:sz w:val="28"/>
          <w:szCs w:val="28"/>
        </w:rPr>
        <w:br/>
      </w:r>
      <w:r w:rsidR="00313D0E" w:rsidRPr="00313D0E">
        <w:rPr>
          <w:b/>
          <w:sz w:val="28"/>
          <w:szCs w:val="28"/>
        </w:rPr>
        <w:t>Program</w:t>
      </w:r>
      <w:r w:rsidR="00313D0E">
        <w:rPr>
          <w:sz w:val="28"/>
          <w:szCs w:val="28"/>
        </w:rPr>
        <w:t xml:space="preserve">: </w:t>
      </w:r>
      <w:r w:rsidR="00313D0E" w:rsidRPr="00313D0E">
        <w:rPr>
          <w:sz w:val="28"/>
          <w:szCs w:val="28"/>
          <w:u w:val="single"/>
        </w:rPr>
        <w:t xml:space="preserve">    D</w:t>
      </w:r>
      <w:bookmarkStart w:id="0" w:name="_GoBack"/>
      <w:bookmarkEnd w:id="0"/>
      <w:r w:rsidR="00313D0E" w:rsidRPr="00313D0E">
        <w:rPr>
          <w:sz w:val="28"/>
          <w:szCs w:val="28"/>
          <w:u w:val="single"/>
        </w:rPr>
        <w:t>istance Education Division</w:t>
      </w:r>
      <w:r w:rsidR="00313D0E">
        <w:rPr>
          <w:sz w:val="28"/>
          <w:szCs w:val="28"/>
          <w:u w:val="single"/>
        </w:rPr>
        <w:t>_____</w:t>
      </w:r>
      <w:r w:rsidR="00313D0E" w:rsidRPr="00313D0E">
        <w:rPr>
          <w:sz w:val="28"/>
          <w:szCs w:val="28"/>
        </w:rPr>
        <w:t xml:space="preserve">   </w:t>
      </w:r>
      <w:r w:rsidR="00313D0E">
        <w:rPr>
          <w:sz w:val="28"/>
          <w:szCs w:val="28"/>
        </w:rPr>
        <w:tab/>
      </w:r>
      <w:r w:rsidR="00313D0E">
        <w:rPr>
          <w:sz w:val="28"/>
          <w:szCs w:val="28"/>
        </w:rPr>
        <w:tab/>
      </w:r>
      <w:r w:rsidR="00313D0E" w:rsidRPr="00313D0E">
        <w:rPr>
          <w:b/>
          <w:sz w:val="28"/>
          <w:szCs w:val="28"/>
        </w:rPr>
        <w:t>Report Period</w:t>
      </w:r>
      <w:r w:rsidR="00313D0E">
        <w:rPr>
          <w:sz w:val="28"/>
          <w:szCs w:val="28"/>
        </w:rPr>
        <w:t>: __</w:t>
      </w:r>
      <w:r w:rsidR="00313D0E" w:rsidRPr="00313D0E">
        <w:rPr>
          <w:sz w:val="28"/>
          <w:szCs w:val="28"/>
          <w:u w:val="single"/>
        </w:rPr>
        <w:t>201</w:t>
      </w:r>
      <w:r w:rsidR="006F1A3F">
        <w:rPr>
          <w:sz w:val="28"/>
          <w:szCs w:val="28"/>
          <w:u w:val="single"/>
        </w:rPr>
        <w:t>6</w:t>
      </w:r>
      <w:r w:rsidR="00313D0E" w:rsidRPr="00313D0E">
        <w:rPr>
          <w:sz w:val="28"/>
          <w:szCs w:val="28"/>
          <w:u w:val="single"/>
        </w:rPr>
        <w:t>-201</w:t>
      </w:r>
      <w:r w:rsidR="006F1A3F">
        <w:rPr>
          <w:sz w:val="28"/>
          <w:szCs w:val="28"/>
          <w:u w:val="single"/>
        </w:rPr>
        <w:t>7</w:t>
      </w:r>
      <w:r w:rsidR="00313D0E">
        <w:rPr>
          <w:sz w:val="28"/>
          <w:szCs w:val="28"/>
          <w:u w:val="single"/>
        </w:rPr>
        <w:t>____</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3"/>
        <w:gridCol w:w="3302"/>
        <w:gridCol w:w="3203"/>
        <w:gridCol w:w="3256"/>
      </w:tblGrid>
      <w:tr w:rsidR="004A15EB" w:rsidRPr="00D554AC" w14:paraId="6217CB70" w14:textId="77777777" w:rsidTr="001F6D86">
        <w:tc>
          <w:tcPr>
            <w:tcW w:w="12944" w:type="dxa"/>
            <w:gridSpan w:val="4"/>
            <w:tcBorders>
              <w:bottom w:val="single" w:sz="6" w:space="0" w:color="auto"/>
            </w:tcBorders>
            <w:shd w:val="clear" w:color="auto" w:fill="D9D9D9" w:themeFill="background1" w:themeFillShade="D9"/>
          </w:tcPr>
          <w:p w14:paraId="64DBDF70" w14:textId="7EFCC162" w:rsidR="004A15EB" w:rsidRPr="00D554AC" w:rsidRDefault="004A15EB" w:rsidP="00F7403C">
            <w:pPr>
              <w:jc w:val="center"/>
              <w:rPr>
                <w:b/>
                <w:sz w:val="32"/>
                <w:szCs w:val="32"/>
              </w:rPr>
            </w:pPr>
            <w:r>
              <w:rPr>
                <w:b/>
                <w:sz w:val="32"/>
                <w:szCs w:val="32"/>
              </w:rPr>
              <w:t>201</w:t>
            </w:r>
            <w:r w:rsidR="003B7B06">
              <w:rPr>
                <w:b/>
                <w:sz w:val="32"/>
                <w:szCs w:val="32"/>
              </w:rPr>
              <w:t>6</w:t>
            </w:r>
            <w:r>
              <w:rPr>
                <w:b/>
                <w:sz w:val="32"/>
                <w:szCs w:val="32"/>
              </w:rPr>
              <w:t>-1</w:t>
            </w:r>
            <w:r w:rsidR="003B7B06">
              <w:rPr>
                <w:b/>
                <w:sz w:val="32"/>
                <w:szCs w:val="32"/>
              </w:rPr>
              <w:t>7</w:t>
            </w:r>
            <w:r>
              <w:rPr>
                <w:b/>
                <w:sz w:val="32"/>
                <w:szCs w:val="32"/>
              </w:rPr>
              <w:t xml:space="preserve"> Accomplishments</w:t>
            </w:r>
          </w:p>
        </w:tc>
      </w:tr>
      <w:tr w:rsidR="004A15EB" w:rsidRPr="00D554AC" w14:paraId="732BE1BA" w14:textId="77777777" w:rsidTr="000B4722">
        <w:trPr>
          <w:trHeight w:val="54"/>
        </w:trPr>
        <w:tc>
          <w:tcPr>
            <w:tcW w:w="3183" w:type="dxa"/>
            <w:tcBorders>
              <w:left w:val="single" w:sz="6" w:space="0" w:color="auto"/>
              <w:bottom w:val="double" w:sz="4" w:space="0" w:color="auto"/>
              <w:right w:val="single" w:sz="6" w:space="0" w:color="auto"/>
            </w:tcBorders>
          </w:tcPr>
          <w:p w14:paraId="45E47C47" w14:textId="77777777" w:rsidR="004A15EB" w:rsidRPr="00490115" w:rsidRDefault="004A15EB" w:rsidP="00F7403C">
            <w:pPr>
              <w:jc w:val="center"/>
              <w:rPr>
                <w:b/>
                <w:sz w:val="16"/>
                <w:szCs w:val="16"/>
              </w:rPr>
            </w:pPr>
          </w:p>
          <w:p w14:paraId="69807B8B" w14:textId="77777777" w:rsidR="004A15EB" w:rsidRPr="00D554AC" w:rsidRDefault="004A15EB" w:rsidP="00F7403C">
            <w:pPr>
              <w:jc w:val="center"/>
              <w:rPr>
                <w:b/>
                <w:sz w:val="24"/>
                <w:szCs w:val="24"/>
              </w:rPr>
            </w:pPr>
            <w:r>
              <w:rPr>
                <w:b/>
                <w:sz w:val="24"/>
                <w:szCs w:val="24"/>
              </w:rPr>
              <w:t>Goals</w:t>
            </w:r>
          </w:p>
        </w:tc>
        <w:tc>
          <w:tcPr>
            <w:tcW w:w="3302" w:type="dxa"/>
            <w:tcBorders>
              <w:left w:val="single" w:sz="6" w:space="0" w:color="auto"/>
              <w:bottom w:val="thinThickSmallGap" w:sz="12" w:space="0" w:color="auto"/>
              <w:right w:val="single" w:sz="4" w:space="0" w:color="auto"/>
            </w:tcBorders>
          </w:tcPr>
          <w:p w14:paraId="011075D7" w14:textId="77777777" w:rsidR="004A15EB" w:rsidRPr="00D554AC" w:rsidRDefault="004A15EB" w:rsidP="00F7403C">
            <w:pPr>
              <w:jc w:val="center"/>
              <w:rPr>
                <w:b/>
                <w:sz w:val="24"/>
                <w:szCs w:val="24"/>
              </w:rPr>
            </w:pPr>
            <w:r>
              <w:rPr>
                <w:b/>
                <w:sz w:val="24"/>
                <w:szCs w:val="24"/>
              </w:rPr>
              <w:t>Request &amp; Justification/Resources</w:t>
            </w:r>
          </w:p>
        </w:tc>
        <w:tc>
          <w:tcPr>
            <w:tcW w:w="3203" w:type="dxa"/>
            <w:tcBorders>
              <w:left w:val="single" w:sz="4" w:space="0" w:color="auto"/>
              <w:bottom w:val="thinThickSmallGap" w:sz="12" w:space="0" w:color="auto"/>
              <w:right w:val="single" w:sz="6" w:space="0" w:color="auto"/>
            </w:tcBorders>
          </w:tcPr>
          <w:p w14:paraId="6F85739F" w14:textId="77777777" w:rsidR="004A15EB" w:rsidRPr="00490115" w:rsidRDefault="004A15EB" w:rsidP="00F7403C">
            <w:pPr>
              <w:jc w:val="center"/>
              <w:rPr>
                <w:b/>
                <w:sz w:val="16"/>
                <w:szCs w:val="16"/>
              </w:rPr>
            </w:pPr>
          </w:p>
          <w:p w14:paraId="6DB195A5" w14:textId="77777777" w:rsidR="004A15EB" w:rsidRPr="00D554AC" w:rsidRDefault="004A15EB" w:rsidP="00F7403C">
            <w:pPr>
              <w:jc w:val="center"/>
              <w:rPr>
                <w:b/>
                <w:sz w:val="24"/>
                <w:szCs w:val="24"/>
              </w:rPr>
            </w:pPr>
            <w:r>
              <w:rPr>
                <w:b/>
                <w:sz w:val="24"/>
                <w:szCs w:val="24"/>
              </w:rPr>
              <w:t>Goal Progress</w:t>
            </w:r>
          </w:p>
        </w:tc>
        <w:tc>
          <w:tcPr>
            <w:tcW w:w="3256" w:type="dxa"/>
            <w:tcBorders>
              <w:left w:val="single" w:sz="6" w:space="0" w:color="auto"/>
              <w:bottom w:val="thinThickSmallGap" w:sz="12" w:space="0" w:color="auto"/>
            </w:tcBorders>
          </w:tcPr>
          <w:p w14:paraId="50C6BC1F" w14:textId="77777777" w:rsidR="004A15EB" w:rsidRPr="00D554AC" w:rsidRDefault="004A15EB" w:rsidP="00F7403C">
            <w:pPr>
              <w:jc w:val="center"/>
              <w:rPr>
                <w:b/>
                <w:sz w:val="24"/>
                <w:szCs w:val="24"/>
              </w:rPr>
            </w:pPr>
            <w:r>
              <w:rPr>
                <w:b/>
                <w:sz w:val="24"/>
                <w:szCs w:val="24"/>
              </w:rPr>
              <w:t>Strategies Implemented &amp; Follow-up</w:t>
            </w:r>
          </w:p>
        </w:tc>
      </w:tr>
      <w:tr w:rsidR="001F6D86" w14:paraId="08084AAB" w14:textId="77777777" w:rsidTr="000B4722">
        <w:trPr>
          <w:trHeight w:val="54"/>
        </w:trPr>
        <w:tc>
          <w:tcPr>
            <w:tcW w:w="3183" w:type="dxa"/>
            <w:tcBorders>
              <w:right w:val="single" w:sz="6" w:space="0" w:color="auto"/>
            </w:tcBorders>
          </w:tcPr>
          <w:p w14:paraId="4D71F515" w14:textId="77777777" w:rsidR="00CB6472" w:rsidRDefault="00CB6472" w:rsidP="001D1B64">
            <w:pPr>
              <w:rPr>
                <w:b/>
              </w:rPr>
            </w:pPr>
          </w:p>
          <w:p w14:paraId="2CDFC45E" w14:textId="00941EE5" w:rsidR="00AF5C92" w:rsidRDefault="00BA547B" w:rsidP="001D1B64">
            <w:r>
              <w:rPr>
                <w:b/>
              </w:rPr>
              <w:t xml:space="preserve">Revised </w:t>
            </w:r>
            <w:r w:rsidR="00C07AC6" w:rsidRPr="00042BCD">
              <w:rPr>
                <w:b/>
              </w:rPr>
              <w:t xml:space="preserve">Goal </w:t>
            </w:r>
            <w:r w:rsidR="00C07AC6">
              <w:rPr>
                <w:b/>
              </w:rPr>
              <w:t>5</w:t>
            </w:r>
            <w:r w:rsidR="00C07AC6" w:rsidRPr="00042BCD">
              <w:rPr>
                <w:b/>
              </w:rPr>
              <w:t xml:space="preserve">:   </w:t>
            </w:r>
            <w:r>
              <w:t>Improve use of standard student orientation materials for courses that use Blackboard 9.</w:t>
            </w:r>
          </w:p>
          <w:p w14:paraId="1D9E40CF" w14:textId="77777777" w:rsidR="00AF5C92" w:rsidRDefault="00AF5C92" w:rsidP="001D1B64"/>
          <w:p w14:paraId="53D771FD" w14:textId="35A7EA6A" w:rsidR="00C07AC6" w:rsidRPr="001D1B64" w:rsidRDefault="00AF5C92" w:rsidP="00AF5C92">
            <w:pPr>
              <w:rPr>
                <w:b/>
              </w:rPr>
            </w:pPr>
            <w:r w:rsidRPr="00AF5C92">
              <w:rPr>
                <w:u w:val="single"/>
              </w:rPr>
              <w:t>Objective</w:t>
            </w:r>
            <w:r>
              <w:t xml:space="preserve">:   </w:t>
            </w:r>
            <w:r w:rsidRPr="00042BCD">
              <w:t>Create Internet course orientation resources in Blackboard 9 that will help students understand general expectations in courses that use Blackboard 9</w:t>
            </w:r>
            <w:r w:rsidR="00F3740A">
              <w:t>.</w:t>
            </w:r>
            <w:r w:rsidR="00C07AC6" w:rsidRPr="001D1B64">
              <w:rPr>
                <w:b/>
              </w:rPr>
              <w:t xml:space="preserve"> </w:t>
            </w:r>
          </w:p>
          <w:p w14:paraId="0D8BCF09" w14:textId="0CC0BB4A" w:rsidR="001F6D86" w:rsidRDefault="001F6D86" w:rsidP="001F6D86"/>
        </w:tc>
        <w:tc>
          <w:tcPr>
            <w:tcW w:w="3302" w:type="dxa"/>
            <w:tcBorders>
              <w:left w:val="single" w:sz="6" w:space="0" w:color="auto"/>
              <w:right w:val="single" w:sz="4" w:space="0" w:color="auto"/>
            </w:tcBorders>
          </w:tcPr>
          <w:p w14:paraId="2EF3A432" w14:textId="77777777" w:rsidR="00A02266" w:rsidRDefault="00A02266" w:rsidP="001F6D86">
            <w:pPr>
              <w:rPr>
                <w:spacing w:val="-2"/>
              </w:rPr>
            </w:pPr>
          </w:p>
          <w:p w14:paraId="353B2CBF" w14:textId="189A32C1" w:rsidR="00C62F85" w:rsidRDefault="00C62F85" w:rsidP="00C62F85">
            <w:pPr>
              <w:pStyle w:val="PlainText"/>
            </w:pPr>
            <w:r>
              <w:t xml:space="preserve">To help students taking JSCC Internet and hybrid courses, the Distance Education Committee approved a standardized course introduction to be used in all summer 2016 Internet and hybrid courses.  The approved design contains seven items that every student in any Internet or hybrid course will be able to find by using a menu link uniformly named Course Introduction.  </w:t>
            </w:r>
          </w:p>
          <w:p w14:paraId="3A306FE8" w14:textId="77777777" w:rsidR="00C62F85" w:rsidRDefault="00C62F85" w:rsidP="00C62F85">
            <w:pPr>
              <w:pStyle w:val="ListParagraph"/>
              <w:numPr>
                <w:ilvl w:val="0"/>
                <w:numId w:val="44"/>
              </w:numPr>
            </w:pPr>
            <w:r>
              <w:t>Participation Verification (Financial Aid)</w:t>
            </w:r>
          </w:p>
          <w:p w14:paraId="6F41ECEC" w14:textId="77777777" w:rsidR="00C62F85" w:rsidRDefault="00C62F85" w:rsidP="00C62F85">
            <w:pPr>
              <w:pStyle w:val="ListParagraph"/>
              <w:numPr>
                <w:ilvl w:val="0"/>
                <w:numId w:val="44"/>
              </w:numPr>
            </w:pPr>
            <w:r>
              <w:t>On Campus Requirements</w:t>
            </w:r>
          </w:p>
          <w:p w14:paraId="4F2B0B2D" w14:textId="77777777" w:rsidR="00C62F85" w:rsidRDefault="00C62F85" w:rsidP="00C62F85">
            <w:pPr>
              <w:pStyle w:val="ListParagraph"/>
              <w:numPr>
                <w:ilvl w:val="0"/>
                <w:numId w:val="44"/>
              </w:numPr>
            </w:pPr>
            <w:r>
              <w:t>Required Course Resources</w:t>
            </w:r>
          </w:p>
          <w:p w14:paraId="4158977D" w14:textId="77777777" w:rsidR="00C62F85" w:rsidRDefault="00C62F85" w:rsidP="00C62F85">
            <w:pPr>
              <w:pStyle w:val="ListParagraph"/>
              <w:numPr>
                <w:ilvl w:val="0"/>
                <w:numId w:val="44"/>
              </w:numPr>
            </w:pPr>
            <w:r>
              <w:t>Official Course Outline, Course Policies and Grading Policies</w:t>
            </w:r>
          </w:p>
          <w:p w14:paraId="7EB85D97" w14:textId="77777777" w:rsidR="00C62F85" w:rsidRDefault="00C62F85" w:rsidP="00C62F85">
            <w:pPr>
              <w:pStyle w:val="ListParagraph"/>
              <w:numPr>
                <w:ilvl w:val="0"/>
                <w:numId w:val="44"/>
              </w:numPr>
            </w:pPr>
            <w:r>
              <w:t>How We Will Communicate</w:t>
            </w:r>
          </w:p>
          <w:p w14:paraId="01EB5921" w14:textId="77777777" w:rsidR="00C62F85" w:rsidRDefault="00C62F85" w:rsidP="00C62F85">
            <w:pPr>
              <w:pStyle w:val="ListParagraph"/>
              <w:numPr>
                <w:ilvl w:val="0"/>
                <w:numId w:val="44"/>
              </w:numPr>
            </w:pPr>
            <w:r>
              <w:t xml:space="preserve">Navigating </w:t>
            </w:r>
            <w:proofErr w:type="gramStart"/>
            <w:r>
              <w:t>The</w:t>
            </w:r>
            <w:proofErr w:type="gramEnd"/>
            <w:r>
              <w:t xml:space="preserve"> Course</w:t>
            </w:r>
          </w:p>
          <w:p w14:paraId="26DC64E8" w14:textId="1E727048" w:rsidR="00AF5C92" w:rsidRPr="00496D65" w:rsidRDefault="00C62F85" w:rsidP="00524828">
            <w:pPr>
              <w:pStyle w:val="ListParagraph"/>
              <w:numPr>
                <w:ilvl w:val="0"/>
                <w:numId w:val="44"/>
              </w:numPr>
              <w:rPr>
                <w:b/>
              </w:rPr>
            </w:pPr>
            <w:r>
              <w:t>Technical Assistance</w:t>
            </w:r>
            <w:r w:rsidR="00FD7197">
              <w:t xml:space="preserve"> and Student Resources</w:t>
            </w:r>
          </w:p>
          <w:p w14:paraId="479248BD" w14:textId="7E5FF7FA" w:rsidR="001D1B64" w:rsidRDefault="001D1B64" w:rsidP="001D1B64"/>
        </w:tc>
        <w:tc>
          <w:tcPr>
            <w:tcW w:w="3203" w:type="dxa"/>
            <w:tcBorders>
              <w:left w:val="single" w:sz="4" w:space="0" w:color="auto"/>
              <w:right w:val="single" w:sz="6" w:space="0" w:color="auto"/>
            </w:tcBorders>
          </w:tcPr>
          <w:p w14:paraId="3C2FEE16" w14:textId="77777777" w:rsidR="00AF5C92" w:rsidRDefault="00AF5C92" w:rsidP="001F6D86"/>
          <w:p w14:paraId="3CCFB94A" w14:textId="4222950B" w:rsidR="0061579F" w:rsidRDefault="0061579F" w:rsidP="00883123">
            <w:pPr>
              <w:pStyle w:val="PlainText"/>
            </w:pPr>
            <w:r w:rsidRPr="009C1F57">
              <w:t>Messages</w:t>
            </w:r>
            <w:r>
              <w:t xml:space="preserve"> encouraging</w:t>
            </w:r>
            <w:r w:rsidR="00527D6E">
              <w:t xml:space="preserve"> fall 201</w:t>
            </w:r>
            <w:r w:rsidR="00805B29">
              <w:t>6</w:t>
            </w:r>
            <w:r>
              <w:t xml:space="preserve"> use and improvement of the Standard Course Introduction</w:t>
            </w:r>
            <w:r w:rsidR="00E51566">
              <w:t xml:space="preserve"> </w:t>
            </w:r>
            <w:r w:rsidR="00A7330B">
              <w:t xml:space="preserve">were </w:t>
            </w:r>
            <w:r>
              <w:t xml:space="preserve">sent to instructors while they are preparing content for the coming term.  A .zip file that </w:t>
            </w:r>
            <w:r w:rsidR="005365E5">
              <w:t>creates a template for this resource is included with the message.  Valerie McCombs is available</w:t>
            </w:r>
            <w:r w:rsidR="00A428B7">
              <w:t xml:space="preserve"> to assist</w:t>
            </w:r>
            <w:r w:rsidR="005365E5">
              <w:t xml:space="preserve"> instructors implementing the resource.</w:t>
            </w:r>
          </w:p>
          <w:p w14:paraId="22F6F292" w14:textId="77777777" w:rsidR="0061579F" w:rsidRDefault="0061579F" w:rsidP="00883123">
            <w:pPr>
              <w:pStyle w:val="PlainText"/>
            </w:pPr>
          </w:p>
          <w:p w14:paraId="610AE282" w14:textId="614B9772" w:rsidR="00883123" w:rsidRDefault="00883123" w:rsidP="00883123">
            <w:pPr>
              <w:pStyle w:val="PlainText"/>
            </w:pPr>
            <w:r>
              <w:t xml:space="preserve">The </w:t>
            </w:r>
            <w:r w:rsidR="00FA568D">
              <w:t>S</w:t>
            </w:r>
            <w:r>
              <w:t xml:space="preserve">tandardized Course Introduction </w:t>
            </w:r>
            <w:r w:rsidR="005365E5">
              <w:t xml:space="preserve">allows </w:t>
            </w:r>
            <w:r>
              <w:t>student</w:t>
            </w:r>
            <w:r w:rsidR="004E167F">
              <w:t>s</w:t>
            </w:r>
            <w:r>
              <w:t xml:space="preserve"> in any distance education course to find essential information, independent of course design. </w:t>
            </w:r>
            <w:r w:rsidR="009C1F57">
              <w:t xml:space="preserve">  </w:t>
            </w:r>
          </w:p>
          <w:p w14:paraId="033005FE" w14:textId="77777777" w:rsidR="00883123" w:rsidRDefault="00883123" w:rsidP="00883123">
            <w:pPr>
              <w:rPr>
                <w:b/>
                <w:color w:val="FF0000"/>
                <w:u w:val="single"/>
              </w:rPr>
            </w:pPr>
          </w:p>
          <w:p w14:paraId="51FD448A" w14:textId="2A50987C" w:rsidR="009C1F57" w:rsidRPr="009C1F57" w:rsidRDefault="003A340C" w:rsidP="00883123">
            <w:pPr>
              <w:rPr>
                <w:color w:val="FF0000"/>
              </w:rPr>
            </w:pPr>
            <w:r>
              <w:t xml:space="preserve"> </w:t>
            </w:r>
            <w:r w:rsidR="00112E2A">
              <w:t xml:space="preserve">  </w:t>
            </w:r>
            <w:r w:rsidR="003A309D">
              <w:t xml:space="preserve"> </w:t>
            </w:r>
          </w:p>
        </w:tc>
        <w:tc>
          <w:tcPr>
            <w:tcW w:w="3256" w:type="dxa"/>
            <w:tcBorders>
              <w:left w:val="single" w:sz="6" w:space="0" w:color="auto"/>
            </w:tcBorders>
          </w:tcPr>
          <w:p w14:paraId="4802BEB7" w14:textId="77777777" w:rsidR="00AF5C92" w:rsidRDefault="00AF5C92" w:rsidP="001F6D86"/>
          <w:p w14:paraId="7C3B3FB7" w14:textId="703D5742" w:rsidR="0003020B" w:rsidRPr="004E167F" w:rsidRDefault="004E167F" w:rsidP="005365E5">
            <w:r>
              <w:t>Instructors will continually be encouraged to use and improve</w:t>
            </w:r>
            <w:r w:rsidR="00246D4A">
              <w:t xml:space="preserve"> information i</w:t>
            </w:r>
            <w:r w:rsidR="00FD3737">
              <w:t>n</w:t>
            </w:r>
            <w:r>
              <w:t xml:space="preserve"> the </w:t>
            </w:r>
            <w:r w:rsidR="000C5BFC">
              <w:t>S</w:t>
            </w:r>
            <w:r>
              <w:t xml:space="preserve">tandard </w:t>
            </w:r>
            <w:r w:rsidR="000C5BFC">
              <w:t>C</w:t>
            </w:r>
            <w:r>
              <w:t xml:space="preserve">ourse </w:t>
            </w:r>
            <w:r w:rsidR="000C5BFC">
              <w:t>I</w:t>
            </w:r>
            <w:r>
              <w:t xml:space="preserve">ntroduction in distance education courses. </w:t>
            </w:r>
          </w:p>
        </w:tc>
      </w:tr>
      <w:tr w:rsidR="00C9012A" w:rsidRPr="005B1B92" w14:paraId="6C613904" w14:textId="77777777" w:rsidTr="006B5B2D">
        <w:trPr>
          <w:trHeight w:val="54"/>
        </w:trPr>
        <w:tc>
          <w:tcPr>
            <w:tcW w:w="3183" w:type="dxa"/>
            <w:tcBorders>
              <w:top w:val="thinThickSmallGap" w:sz="12" w:space="0" w:color="auto"/>
              <w:right w:val="single" w:sz="6" w:space="0" w:color="auto"/>
            </w:tcBorders>
          </w:tcPr>
          <w:p w14:paraId="305F3178" w14:textId="77777777" w:rsidR="008C4634" w:rsidRDefault="008C4634" w:rsidP="006B5B2D">
            <w:pPr>
              <w:rPr>
                <w:b/>
              </w:rPr>
            </w:pPr>
          </w:p>
          <w:p w14:paraId="6C025F7F" w14:textId="694C54D4" w:rsidR="00C9012A" w:rsidRDefault="00C9012A" w:rsidP="006B5B2D">
            <w:r>
              <w:rPr>
                <w:b/>
              </w:rPr>
              <w:t xml:space="preserve">Goal 6:  </w:t>
            </w:r>
            <w:r w:rsidRPr="00750020">
              <w:t xml:space="preserve"> </w:t>
            </w:r>
            <w:r>
              <w:t>Renew annual licenses and memberships related to the college’s distance education program.</w:t>
            </w:r>
          </w:p>
          <w:p w14:paraId="321670AA" w14:textId="77777777" w:rsidR="00C9012A" w:rsidRDefault="00C9012A" w:rsidP="006B5B2D"/>
          <w:p w14:paraId="21ED0865" w14:textId="79FD6717" w:rsidR="00C9012A" w:rsidRDefault="00C9012A" w:rsidP="006B5B2D">
            <w:r w:rsidRPr="00E26EF9">
              <w:rPr>
                <w:u w:val="single"/>
              </w:rPr>
              <w:t>Objective</w:t>
            </w:r>
            <w:r>
              <w:rPr>
                <w:u w:val="single"/>
              </w:rPr>
              <w:t xml:space="preserve">:  </w:t>
            </w:r>
            <w:r>
              <w:t>All annual licenses and memberships related to the college’s distance education program</w:t>
            </w:r>
            <w:r w:rsidRPr="00750020">
              <w:t xml:space="preserve"> </w:t>
            </w:r>
            <w:r>
              <w:t>will be renewed for 201</w:t>
            </w:r>
            <w:r w:rsidR="00205C1D">
              <w:t>6</w:t>
            </w:r>
            <w:r>
              <w:t>-1</w:t>
            </w:r>
            <w:r w:rsidR="00205C1D">
              <w:t>7</w:t>
            </w:r>
            <w:r w:rsidR="00C651A2">
              <w:t>.</w:t>
            </w:r>
          </w:p>
        </w:tc>
        <w:tc>
          <w:tcPr>
            <w:tcW w:w="3302" w:type="dxa"/>
            <w:tcBorders>
              <w:top w:val="thinThickSmallGap" w:sz="12" w:space="0" w:color="auto"/>
              <w:left w:val="single" w:sz="6" w:space="0" w:color="auto"/>
              <w:right w:val="single" w:sz="4" w:space="0" w:color="auto"/>
            </w:tcBorders>
          </w:tcPr>
          <w:p w14:paraId="1D67CDFB" w14:textId="77777777" w:rsidR="00C9012A" w:rsidRDefault="00C9012A" w:rsidP="006B5B2D"/>
          <w:p w14:paraId="3255CE02" w14:textId="4527DDC1" w:rsidR="00C9012A" w:rsidRDefault="00C9012A" w:rsidP="006B5B2D">
            <w:r>
              <w:t>The Distance Education Division handles annual renewals for the following licen</w:t>
            </w:r>
            <w:r w:rsidR="00D45010">
              <w:t>s</w:t>
            </w:r>
            <w:r>
              <w:t>es.</w:t>
            </w:r>
          </w:p>
          <w:p w14:paraId="20CCE291" w14:textId="77777777" w:rsidR="00C9012A" w:rsidRDefault="00C9012A" w:rsidP="006B5B2D"/>
          <w:p w14:paraId="6F1CA539" w14:textId="2710DB6E" w:rsidR="00C9012A" w:rsidRPr="00E26EF9" w:rsidRDefault="00C9012A" w:rsidP="006B5B2D">
            <w:pPr>
              <w:pStyle w:val="ListParagraph"/>
              <w:numPr>
                <w:ilvl w:val="0"/>
                <w:numId w:val="29"/>
              </w:numPr>
              <w:rPr>
                <w:b/>
                <w:u w:val="single"/>
              </w:rPr>
            </w:pPr>
            <w:r>
              <w:t xml:space="preserve">Blackboard Learn LMS License – </w:t>
            </w:r>
            <w:r w:rsidRPr="00C97DBA">
              <w:t>$</w:t>
            </w:r>
            <w:r w:rsidR="00745A4D" w:rsidRPr="00C97DBA">
              <w:t>5</w:t>
            </w:r>
            <w:r w:rsidR="00745A4D">
              <w:t>3</w:t>
            </w:r>
            <w:r w:rsidR="00745A4D" w:rsidRPr="00C97DBA">
              <w:t>,</w:t>
            </w:r>
            <w:r w:rsidR="00745A4D">
              <w:t>068</w:t>
            </w:r>
            <w:r w:rsidR="00745A4D" w:rsidRPr="00C97DBA">
              <w:t>.</w:t>
            </w:r>
            <w:r w:rsidR="00745A4D">
              <w:t>85</w:t>
            </w:r>
            <w:r>
              <w:t xml:space="preserve"> when renewed </w:t>
            </w:r>
            <w:r w:rsidRPr="00C97DBA">
              <w:t>August 201</w:t>
            </w:r>
            <w:r w:rsidR="00745A4D">
              <w:t>6</w:t>
            </w:r>
          </w:p>
          <w:p w14:paraId="38FB5FAA" w14:textId="57B564E5" w:rsidR="00C9012A" w:rsidRPr="004C5E96" w:rsidRDefault="00C9012A" w:rsidP="006B5B2D">
            <w:pPr>
              <w:pStyle w:val="ListParagraph"/>
              <w:numPr>
                <w:ilvl w:val="0"/>
                <w:numId w:val="29"/>
              </w:numPr>
              <w:rPr>
                <w:b/>
                <w:u w:val="single"/>
              </w:rPr>
            </w:pPr>
            <w:proofErr w:type="spellStart"/>
            <w:r>
              <w:t>Tegrity</w:t>
            </w:r>
            <w:proofErr w:type="spellEnd"/>
            <w:r>
              <w:t xml:space="preserve"> Lecture Capture License – </w:t>
            </w:r>
            <w:r w:rsidRPr="00C97DBA">
              <w:t>$37,202.00</w:t>
            </w:r>
            <w:r>
              <w:t xml:space="preserve"> </w:t>
            </w:r>
            <w:r w:rsidRPr="00C97DBA">
              <w:t>when renewed March 201</w:t>
            </w:r>
            <w:r w:rsidR="00745A4D">
              <w:t>6</w:t>
            </w:r>
          </w:p>
          <w:p w14:paraId="1E91BC39" w14:textId="0779A3BD" w:rsidR="00C9012A" w:rsidRPr="004C5E96" w:rsidRDefault="00C9012A" w:rsidP="006B5B2D">
            <w:pPr>
              <w:pStyle w:val="ListParagraph"/>
              <w:numPr>
                <w:ilvl w:val="0"/>
                <w:numId w:val="29"/>
              </w:numPr>
              <w:rPr>
                <w:b/>
                <w:u w:val="single"/>
              </w:rPr>
            </w:pPr>
            <w:r>
              <w:t xml:space="preserve">Respondus Exam Creation and Management License - </w:t>
            </w:r>
            <w:r w:rsidRPr="00034CBD">
              <w:t>$2,095.00 when renewed July 201</w:t>
            </w:r>
            <w:r w:rsidR="00745A4D">
              <w:t>6</w:t>
            </w:r>
          </w:p>
          <w:p w14:paraId="57EEAAC7" w14:textId="481D1677" w:rsidR="00C9012A" w:rsidRDefault="00C9012A" w:rsidP="006B5B2D">
            <w:pPr>
              <w:pStyle w:val="ListParagraph"/>
              <w:numPr>
                <w:ilvl w:val="0"/>
                <w:numId w:val="29"/>
              </w:numPr>
            </w:pPr>
            <w:r>
              <w:t>Instructional Technology Council</w:t>
            </w:r>
            <w:r w:rsidR="003E2D3E">
              <w:t xml:space="preserve"> (ITC)</w:t>
            </w:r>
            <w:r>
              <w:t xml:space="preserve"> Membership – $495 when renewed July 201</w:t>
            </w:r>
            <w:r w:rsidR="00745A4D">
              <w:t>6</w:t>
            </w:r>
          </w:p>
          <w:p w14:paraId="7A1A667C" w14:textId="77777777" w:rsidR="00C9012A" w:rsidRDefault="00C9012A" w:rsidP="006B5B2D"/>
        </w:tc>
        <w:tc>
          <w:tcPr>
            <w:tcW w:w="3203" w:type="dxa"/>
            <w:tcBorders>
              <w:top w:val="thinThickSmallGap" w:sz="12" w:space="0" w:color="auto"/>
              <w:left w:val="single" w:sz="4" w:space="0" w:color="auto"/>
              <w:right w:val="single" w:sz="6" w:space="0" w:color="auto"/>
            </w:tcBorders>
          </w:tcPr>
          <w:p w14:paraId="61DAAD37" w14:textId="77777777" w:rsidR="00C9012A" w:rsidRDefault="00C9012A" w:rsidP="006B5B2D">
            <w:pPr>
              <w:rPr>
                <w:color w:val="FF0000"/>
              </w:rPr>
            </w:pPr>
          </w:p>
          <w:p w14:paraId="6C59FD94" w14:textId="4257D890" w:rsidR="00C9012A" w:rsidRDefault="00C9012A" w:rsidP="006B5B2D">
            <w:r>
              <w:t xml:space="preserve">Blackboard, </w:t>
            </w:r>
            <w:proofErr w:type="spellStart"/>
            <w:r>
              <w:t>Tegrity</w:t>
            </w:r>
            <w:proofErr w:type="spellEnd"/>
            <w:r>
              <w:t xml:space="preserve"> and Respondus annual licenses were renewed, along with ITC Membership.</w:t>
            </w:r>
          </w:p>
          <w:p w14:paraId="3080067B" w14:textId="5DE49701" w:rsidR="002379A6" w:rsidRPr="002379A6" w:rsidRDefault="00C9012A" w:rsidP="006B5B2D">
            <w:pPr>
              <w:pStyle w:val="ListParagraph"/>
              <w:numPr>
                <w:ilvl w:val="0"/>
                <w:numId w:val="40"/>
              </w:numPr>
              <w:rPr>
                <w:b/>
                <w:u w:val="single"/>
              </w:rPr>
            </w:pPr>
            <w:r>
              <w:t>Blackboard Learn LMS Renew</w:t>
            </w:r>
            <w:r w:rsidR="003D1DD8">
              <w:t>al extended to Octo</w:t>
            </w:r>
            <w:r w:rsidR="002379A6">
              <w:t xml:space="preserve">ber </w:t>
            </w:r>
            <w:r>
              <w:t>201</w:t>
            </w:r>
            <w:r w:rsidR="003D1DD8">
              <w:t>7</w:t>
            </w:r>
            <w:r w:rsidR="002379A6">
              <w:t xml:space="preserve"> (See Goal </w:t>
            </w:r>
            <w:r w:rsidR="00E16BF6">
              <w:t>13)</w:t>
            </w:r>
          </w:p>
          <w:p w14:paraId="536216D1" w14:textId="42EF6F4E" w:rsidR="00C9012A" w:rsidRPr="00E26EF9" w:rsidRDefault="00C9012A" w:rsidP="002379A6">
            <w:pPr>
              <w:pStyle w:val="ListParagraph"/>
              <w:ind w:left="360"/>
              <w:rPr>
                <w:b/>
                <w:u w:val="single"/>
              </w:rPr>
            </w:pPr>
            <w:r>
              <w:t xml:space="preserve">Amount – </w:t>
            </w:r>
            <w:r w:rsidRPr="00C97DBA">
              <w:t>$</w:t>
            </w:r>
            <w:r w:rsidR="00E16BF6">
              <w:t>129,722.29</w:t>
            </w:r>
          </w:p>
          <w:p w14:paraId="75123A19" w14:textId="04256DB3" w:rsidR="00C9012A" w:rsidRPr="00E26EF9" w:rsidRDefault="00C9012A" w:rsidP="006B5B2D">
            <w:pPr>
              <w:pStyle w:val="ListParagraph"/>
              <w:numPr>
                <w:ilvl w:val="0"/>
                <w:numId w:val="40"/>
              </w:numPr>
              <w:rPr>
                <w:b/>
                <w:u w:val="single"/>
              </w:rPr>
            </w:pPr>
            <w:proofErr w:type="spellStart"/>
            <w:r>
              <w:t>Tegrity</w:t>
            </w:r>
            <w:proofErr w:type="spellEnd"/>
            <w:r>
              <w:t xml:space="preserve"> Lecture Capture </w:t>
            </w:r>
            <w:r>
              <w:br/>
              <w:t xml:space="preserve">Renewed </w:t>
            </w:r>
            <w:r w:rsidR="002D50F1">
              <w:t>March</w:t>
            </w:r>
            <w:r>
              <w:t xml:space="preserve"> 201</w:t>
            </w:r>
            <w:r w:rsidR="008105B7">
              <w:t>7</w:t>
            </w:r>
          </w:p>
          <w:p w14:paraId="574BB9AE" w14:textId="77777777" w:rsidR="00C9012A" w:rsidRPr="004C5E96" w:rsidRDefault="00C9012A" w:rsidP="006B5B2D">
            <w:pPr>
              <w:pStyle w:val="ListParagraph"/>
              <w:ind w:left="360"/>
              <w:rPr>
                <w:b/>
                <w:u w:val="single"/>
              </w:rPr>
            </w:pPr>
            <w:r>
              <w:t xml:space="preserve">Amount – </w:t>
            </w:r>
            <w:r w:rsidRPr="00C97DBA">
              <w:t>$37,202.00</w:t>
            </w:r>
          </w:p>
          <w:p w14:paraId="0F1F37EF" w14:textId="2E1CAC25" w:rsidR="00C9012A" w:rsidRPr="004C5E96" w:rsidRDefault="00C9012A" w:rsidP="006B5B2D">
            <w:pPr>
              <w:pStyle w:val="ListParagraph"/>
              <w:numPr>
                <w:ilvl w:val="0"/>
                <w:numId w:val="40"/>
              </w:numPr>
              <w:rPr>
                <w:b/>
                <w:u w:val="single"/>
              </w:rPr>
            </w:pPr>
            <w:r>
              <w:t>Respondus Exam Creation Renewed June 201</w:t>
            </w:r>
            <w:r w:rsidR="008105B7">
              <w:t>7</w:t>
            </w:r>
            <w:r>
              <w:br/>
              <w:t xml:space="preserve">Amount - </w:t>
            </w:r>
            <w:r w:rsidRPr="00034CBD">
              <w:t>$2,095.00</w:t>
            </w:r>
          </w:p>
          <w:p w14:paraId="0CC89335" w14:textId="4E4C4AFB" w:rsidR="008105B7" w:rsidRDefault="00C9012A" w:rsidP="00745A4D">
            <w:pPr>
              <w:pStyle w:val="ListParagraph"/>
              <w:numPr>
                <w:ilvl w:val="0"/>
                <w:numId w:val="40"/>
              </w:numPr>
            </w:pPr>
            <w:r>
              <w:t>I</w:t>
            </w:r>
            <w:r w:rsidR="00745A4D">
              <w:t xml:space="preserve">TC Membership Renewed </w:t>
            </w:r>
            <w:r w:rsidR="008105B7">
              <w:t>July 201</w:t>
            </w:r>
            <w:r w:rsidR="00BB5D7A">
              <w:t>7</w:t>
            </w:r>
          </w:p>
          <w:p w14:paraId="6425890F" w14:textId="24CDF8A5" w:rsidR="00C9012A" w:rsidRPr="005B1B92" w:rsidRDefault="00C9012A" w:rsidP="008105B7">
            <w:pPr>
              <w:pStyle w:val="ListParagraph"/>
              <w:ind w:left="360"/>
            </w:pPr>
            <w:r>
              <w:t>Amount – $495</w:t>
            </w:r>
          </w:p>
        </w:tc>
        <w:tc>
          <w:tcPr>
            <w:tcW w:w="3256" w:type="dxa"/>
            <w:tcBorders>
              <w:top w:val="thinThickSmallGap" w:sz="12" w:space="0" w:color="auto"/>
              <w:left w:val="single" w:sz="6" w:space="0" w:color="auto"/>
            </w:tcBorders>
          </w:tcPr>
          <w:p w14:paraId="0F07FE10" w14:textId="77777777" w:rsidR="00C9012A" w:rsidRDefault="00C9012A" w:rsidP="006B5B2D">
            <w:pPr>
              <w:rPr>
                <w:color w:val="FF0000"/>
              </w:rPr>
            </w:pPr>
          </w:p>
          <w:p w14:paraId="4E7DA1C4" w14:textId="7ED1898E" w:rsidR="0039347E" w:rsidRDefault="00593361" w:rsidP="006B5B2D">
            <w:r>
              <w:t xml:space="preserve">Blackboard renewal was pushed to October 2017 to </w:t>
            </w:r>
            <w:r w:rsidR="0039347E">
              <w:t xml:space="preserve">facilitate the college’s migration from self- hosted Blackboard </w:t>
            </w:r>
            <w:r w:rsidR="00DC36E5">
              <w:t>Learn</w:t>
            </w:r>
            <w:r w:rsidR="0039347E">
              <w:t xml:space="preserve"> to cloud hosted (SaaS) Blackboard </w:t>
            </w:r>
            <w:r w:rsidR="00DC36E5">
              <w:t>Learn</w:t>
            </w:r>
            <w:r w:rsidR="0039347E">
              <w:t>, which is discussed in Goal 13.</w:t>
            </w:r>
          </w:p>
          <w:p w14:paraId="3D1C5883" w14:textId="77777777" w:rsidR="0039347E" w:rsidRDefault="0039347E" w:rsidP="006B5B2D"/>
          <w:p w14:paraId="40AA57B9" w14:textId="44B3B465" w:rsidR="00C9012A" w:rsidRDefault="00C9012A" w:rsidP="006B5B2D">
            <w:r>
              <w:t xml:space="preserve">The Distance Education Division will continue to handle renewals for Blackboard, </w:t>
            </w:r>
            <w:proofErr w:type="spellStart"/>
            <w:r>
              <w:t>Tegrity</w:t>
            </w:r>
            <w:proofErr w:type="spellEnd"/>
            <w:r>
              <w:t xml:space="preserve"> and Respondus annual licenses, and ITC Membership</w:t>
            </w:r>
          </w:p>
          <w:p w14:paraId="61F4189D" w14:textId="77777777" w:rsidR="00C9012A" w:rsidRPr="005B1B92" w:rsidRDefault="00C9012A" w:rsidP="006B5B2D"/>
        </w:tc>
      </w:tr>
      <w:tr w:rsidR="001F6D86" w14:paraId="4BE5D5A6" w14:textId="77777777" w:rsidTr="000B4722">
        <w:trPr>
          <w:trHeight w:val="54"/>
        </w:trPr>
        <w:tc>
          <w:tcPr>
            <w:tcW w:w="3183" w:type="dxa"/>
            <w:tcBorders>
              <w:right w:val="single" w:sz="6" w:space="0" w:color="auto"/>
            </w:tcBorders>
          </w:tcPr>
          <w:p w14:paraId="30AF04B6" w14:textId="77777777" w:rsidR="000E389F" w:rsidRDefault="000E389F" w:rsidP="00B7409F">
            <w:pPr>
              <w:rPr>
                <w:b/>
              </w:rPr>
            </w:pPr>
          </w:p>
          <w:p w14:paraId="4AFE2CBE" w14:textId="380EF3E2" w:rsidR="00B7409F" w:rsidRDefault="00220991" w:rsidP="00B7409F">
            <w:r>
              <w:rPr>
                <w:b/>
              </w:rPr>
              <w:t xml:space="preserve">Revised </w:t>
            </w:r>
            <w:r w:rsidR="00B7409F" w:rsidRPr="00750020">
              <w:rPr>
                <w:b/>
              </w:rPr>
              <w:t xml:space="preserve">Goal </w:t>
            </w:r>
            <w:r w:rsidR="00B7409F">
              <w:rPr>
                <w:b/>
              </w:rPr>
              <w:t>7</w:t>
            </w:r>
            <w:r w:rsidR="00B7409F" w:rsidRPr="00750020">
              <w:rPr>
                <w:b/>
              </w:rPr>
              <w:t xml:space="preserve">:  </w:t>
            </w:r>
            <w:r w:rsidR="00B7409F" w:rsidRPr="00750020">
              <w:t>Acquire ne</w:t>
            </w:r>
            <w:r w:rsidR="00B7409F">
              <w:t xml:space="preserve">w </w:t>
            </w:r>
            <w:r w:rsidR="00B7409F" w:rsidRPr="00750020">
              <w:t>computer</w:t>
            </w:r>
            <w:r w:rsidR="00B7409F">
              <w:t xml:space="preserve">s/devices </w:t>
            </w:r>
            <w:r w:rsidR="00B7409F" w:rsidRPr="00750020">
              <w:t>for Distance Education Division</w:t>
            </w:r>
            <w:r w:rsidR="00B7409F">
              <w:t xml:space="preserve"> faculty and staff.  </w:t>
            </w:r>
          </w:p>
          <w:p w14:paraId="030EC52B" w14:textId="77777777" w:rsidR="00B7409F" w:rsidRPr="00750020" w:rsidRDefault="00B7409F" w:rsidP="00B7409F"/>
          <w:p w14:paraId="4644907B" w14:textId="34C6A802" w:rsidR="00B7409F" w:rsidRPr="007E4459" w:rsidRDefault="00B7409F" w:rsidP="00B7409F">
            <w:pPr>
              <w:rPr>
                <w:u w:val="single"/>
              </w:rPr>
            </w:pPr>
            <w:r w:rsidRPr="007E4459">
              <w:rPr>
                <w:u w:val="single"/>
              </w:rPr>
              <w:t>Objectives</w:t>
            </w:r>
          </w:p>
          <w:p w14:paraId="19A5A546" w14:textId="203E22FC" w:rsidR="001F6D86" w:rsidRDefault="00B7409F" w:rsidP="001F6D86">
            <w:r>
              <w:t xml:space="preserve">Determine the best options (desktop, laptop, tablet) for faculty and ITS staff based on daily use. </w:t>
            </w:r>
            <w:r w:rsidR="007E4459">
              <w:t xml:space="preserve"> </w:t>
            </w:r>
            <w:r w:rsidRPr="00750020">
              <w:t>Acquire new computer</w:t>
            </w:r>
            <w:r>
              <w:t>s/devices for six faculty</w:t>
            </w:r>
            <w:r w:rsidRPr="00750020">
              <w:t xml:space="preserve"> </w:t>
            </w:r>
            <w:r w:rsidR="00A05DE7">
              <w:t>and</w:t>
            </w:r>
            <w:r w:rsidRPr="00750020">
              <w:t xml:space="preserve"> two ITS staff.</w:t>
            </w:r>
            <w:r w:rsidR="007E4459">
              <w:t xml:space="preserve">  </w:t>
            </w:r>
            <w:r w:rsidRPr="00750020">
              <w:t>Acquire tablet</w:t>
            </w:r>
            <w:r>
              <w:t xml:space="preserve">s of differing platforms </w:t>
            </w:r>
            <w:r w:rsidRPr="00750020">
              <w:t xml:space="preserve">for ITS staff. </w:t>
            </w:r>
          </w:p>
          <w:p w14:paraId="29BED81B" w14:textId="570FF137" w:rsidR="001F6D86" w:rsidRDefault="001F6D86" w:rsidP="001F6D86"/>
        </w:tc>
        <w:tc>
          <w:tcPr>
            <w:tcW w:w="3302" w:type="dxa"/>
            <w:tcBorders>
              <w:left w:val="single" w:sz="6" w:space="0" w:color="auto"/>
              <w:right w:val="single" w:sz="4" w:space="0" w:color="auto"/>
            </w:tcBorders>
          </w:tcPr>
          <w:p w14:paraId="55BD14C4" w14:textId="77777777" w:rsidR="001F6D86" w:rsidRDefault="001F6D86" w:rsidP="001F6D86"/>
          <w:p w14:paraId="380DE3D3" w14:textId="6DFEA55E" w:rsidR="00602C2E" w:rsidRDefault="00602C2E" w:rsidP="001F6D86">
            <w:r>
              <w:t>Computers used by faculty and staff in the distance education division are approaching the end of life, and need to be replaced.  The emergence of new computing technologies will be considered in purchase requests.</w:t>
            </w:r>
          </w:p>
          <w:p w14:paraId="331737A6" w14:textId="77777777" w:rsidR="00602C2E" w:rsidRDefault="00602C2E" w:rsidP="001F6D86"/>
          <w:p w14:paraId="19754825" w14:textId="55B5264B" w:rsidR="007E4459" w:rsidRDefault="007E4459" w:rsidP="001F6D86"/>
        </w:tc>
        <w:tc>
          <w:tcPr>
            <w:tcW w:w="3203" w:type="dxa"/>
            <w:tcBorders>
              <w:left w:val="single" w:sz="4" w:space="0" w:color="auto"/>
              <w:right w:val="single" w:sz="6" w:space="0" w:color="auto"/>
            </w:tcBorders>
          </w:tcPr>
          <w:p w14:paraId="6921678D" w14:textId="77777777" w:rsidR="00602C2E" w:rsidRDefault="00602C2E" w:rsidP="001F6D86"/>
          <w:p w14:paraId="01EDA092" w14:textId="09B2A5C3" w:rsidR="00602C2E" w:rsidRDefault="00602C2E" w:rsidP="001F6D86">
            <w:r>
              <w:t>Faculty and staff</w:t>
            </w:r>
            <w:r w:rsidR="004209DA">
              <w:t xml:space="preserve"> computers were upgraded as follows.</w:t>
            </w:r>
            <w:r>
              <w:t xml:space="preserve"> </w:t>
            </w:r>
          </w:p>
          <w:p w14:paraId="6AC5845A" w14:textId="77777777" w:rsidR="00602C2E" w:rsidRDefault="00602C2E" w:rsidP="001F6D86"/>
          <w:p w14:paraId="0FE5BE46" w14:textId="3298B446" w:rsidR="00FA1F14" w:rsidRPr="004209DA" w:rsidRDefault="004209DA" w:rsidP="001F6D86">
            <w:pPr>
              <w:rPr>
                <w:u w:val="single"/>
              </w:rPr>
            </w:pPr>
            <w:r w:rsidRPr="004209DA">
              <w:rPr>
                <w:u w:val="single"/>
              </w:rPr>
              <w:t>Received HP Laptop Package</w:t>
            </w:r>
          </w:p>
          <w:p w14:paraId="09DEDA42" w14:textId="047E000D" w:rsidR="004209DA" w:rsidRDefault="00FA1F14" w:rsidP="001F6D86">
            <w:r>
              <w:t>Zac Alexander</w:t>
            </w:r>
            <w:r>
              <w:br/>
              <w:t>Alberto Luna</w:t>
            </w:r>
            <w:r>
              <w:br/>
              <w:t>Shay Culbertson</w:t>
            </w:r>
            <w:r>
              <w:br/>
            </w:r>
          </w:p>
          <w:p w14:paraId="518F5A25" w14:textId="2E03722F" w:rsidR="004209DA" w:rsidRPr="001B4610" w:rsidRDefault="00CC123B" w:rsidP="001F6D86">
            <w:pPr>
              <w:rPr>
                <w:u w:val="single"/>
              </w:rPr>
            </w:pPr>
            <w:r>
              <w:rPr>
                <w:u w:val="single"/>
              </w:rPr>
              <w:t xml:space="preserve">Received </w:t>
            </w:r>
            <w:r w:rsidR="004209DA" w:rsidRPr="001B4610">
              <w:rPr>
                <w:u w:val="single"/>
              </w:rPr>
              <w:t>Surface 4</w:t>
            </w:r>
            <w:r w:rsidR="001B4610" w:rsidRPr="001B4610">
              <w:rPr>
                <w:u w:val="single"/>
              </w:rPr>
              <w:t xml:space="preserve"> Package</w:t>
            </w:r>
          </w:p>
          <w:p w14:paraId="0D9A78D7" w14:textId="70D49D5B" w:rsidR="00ED5D13" w:rsidRDefault="00ED5D13" w:rsidP="00ED5D13">
            <w:pPr>
              <w:rPr>
                <w:rFonts w:ascii="Calibri" w:hAnsi="Calibri"/>
                <w:color w:val="000000"/>
              </w:rPr>
            </w:pPr>
            <w:r>
              <w:t>Greg McCallister</w:t>
            </w:r>
          </w:p>
          <w:p w14:paraId="70E2642C" w14:textId="27A59376" w:rsidR="001B4610" w:rsidRDefault="001B4610" w:rsidP="001F6D86">
            <w:r>
              <w:t>Kevin Townes</w:t>
            </w:r>
          </w:p>
          <w:p w14:paraId="11EBE3E1" w14:textId="1616E2D2" w:rsidR="00FA1F14" w:rsidRDefault="00FA1F14" w:rsidP="001F6D86">
            <w:r>
              <w:t>Matt Boehm</w:t>
            </w:r>
          </w:p>
          <w:p w14:paraId="117D2033" w14:textId="668B3DCB" w:rsidR="001B4610" w:rsidRDefault="00FA1F14" w:rsidP="001F6D86">
            <w:r>
              <w:t>Ann Lyons</w:t>
            </w:r>
          </w:p>
          <w:p w14:paraId="65F1D7A9" w14:textId="2D709549" w:rsidR="00EF3F30" w:rsidRDefault="00EF3F30" w:rsidP="001F6D86">
            <w:r>
              <w:t>Kevin Towne</w:t>
            </w:r>
            <w:r w:rsidR="00B562CC">
              <w:t>s (Also received speaker and projector)</w:t>
            </w:r>
          </w:p>
          <w:p w14:paraId="69435A24" w14:textId="57E61196" w:rsidR="00EF3F30" w:rsidRDefault="00EF3F30" w:rsidP="001F6D86"/>
          <w:p w14:paraId="435D8018" w14:textId="63887664" w:rsidR="001F6D86" w:rsidRDefault="00EF3F30" w:rsidP="00B562CC">
            <w:pPr>
              <w:rPr>
                <w:b/>
                <w:color w:val="FF0000"/>
                <w:u w:val="single"/>
              </w:rPr>
            </w:pPr>
            <w:r>
              <w:t>Total - $12,088.82</w:t>
            </w:r>
          </w:p>
        </w:tc>
        <w:tc>
          <w:tcPr>
            <w:tcW w:w="3256" w:type="dxa"/>
            <w:tcBorders>
              <w:left w:val="single" w:sz="6" w:space="0" w:color="auto"/>
            </w:tcBorders>
          </w:tcPr>
          <w:p w14:paraId="5C64605E" w14:textId="77777777" w:rsidR="00EC593C" w:rsidRDefault="00EC593C" w:rsidP="001F6D86"/>
          <w:p w14:paraId="7507EB96" w14:textId="2665AEE8" w:rsidR="001F6D86" w:rsidRDefault="00976B37" w:rsidP="00976B37">
            <w:r>
              <w:t>C</w:t>
            </w:r>
            <w:r w:rsidR="00EC593C">
              <w:t xml:space="preserve">omputers will be upgraded </w:t>
            </w:r>
            <w:r>
              <w:t xml:space="preserve">upon reaching the end of their useful life, as determined by the IT Department. </w:t>
            </w:r>
          </w:p>
        </w:tc>
      </w:tr>
      <w:tr w:rsidR="001F6D86" w14:paraId="5DAC070E" w14:textId="77777777" w:rsidTr="000B4722">
        <w:trPr>
          <w:trHeight w:val="54"/>
        </w:trPr>
        <w:tc>
          <w:tcPr>
            <w:tcW w:w="3183" w:type="dxa"/>
            <w:tcBorders>
              <w:right w:val="single" w:sz="6" w:space="0" w:color="auto"/>
            </w:tcBorders>
          </w:tcPr>
          <w:p w14:paraId="6DF1DCD4" w14:textId="4252F996" w:rsidR="001F6D86" w:rsidRDefault="001F6D86" w:rsidP="001F6D86"/>
          <w:p w14:paraId="4C3E3721" w14:textId="46FA8698" w:rsidR="00C07AC6" w:rsidRDefault="00C07AC6" w:rsidP="00C07AC6">
            <w:r w:rsidRPr="008770F5">
              <w:rPr>
                <w:b/>
              </w:rPr>
              <w:t xml:space="preserve">Goal </w:t>
            </w:r>
            <w:r>
              <w:rPr>
                <w:b/>
              </w:rPr>
              <w:t>9</w:t>
            </w:r>
            <w:r w:rsidRPr="008770F5">
              <w:rPr>
                <w:b/>
              </w:rPr>
              <w:t xml:space="preserve">:   </w:t>
            </w:r>
            <w:r w:rsidRPr="008770F5">
              <w:t>Offer Blackboard 9 Training Sessions</w:t>
            </w:r>
          </w:p>
          <w:p w14:paraId="5AEF6699" w14:textId="77777777" w:rsidR="00EF5D87" w:rsidRDefault="00EF5D87" w:rsidP="00EF5D87">
            <w:pPr>
              <w:pStyle w:val="ListParagraph"/>
              <w:ind w:left="1080"/>
            </w:pPr>
          </w:p>
          <w:p w14:paraId="453E08D9" w14:textId="0EB83A42" w:rsidR="00EF5D87" w:rsidRPr="008770F5" w:rsidRDefault="00EF5D87" w:rsidP="00EF5D87">
            <w:r w:rsidRPr="00EF5D87">
              <w:rPr>
                <w:u w:val="single"/>
              </w:rPr>
              <w:t>Objective</w:t>
            </w:r>
            <w:r>
              <w:t xml:space="preserve">:  </w:t>
            </w:r>
            <w:r w:rsidRPr="008770F5">
              <w:t>Prepare faculty to use Blackboard learning management system.</w:t>
            </w:r>
          </w:p>
          <w:p w14:paraId="10989FFA" w14:textId="77777777" w:rsidR="00EF5D87" w:rsidRPr="008770F5" w:rsidRDefault="00EF5D87" w:rsidP="00C07AC6">
            <w:pPr>
              <w:rPr>
                <w:b/>
              </w:rPr>
            </w:pPr>
          </w:p>
          <w:p w14:paraId="4BB91E5D" w14:textId="7A3916CB" w:rsidR="001F6D86" w:rsidRDefault="001F6D86" w:rsidP="00CC5187"/>
        </w:tc>
        <w:tc>
          <w:tcPr>
            <w:tcW w:w="3302" w:type="dxa"/>
            <w:tcBorders>
              <w:left w:val="single" w:sz="6" w:space="0" w:color="auto"/>
              <w:right w:val="single" w:sz="4" w:space="0" w:color="auto"/>
            </w:tcBorders>
          </w:tcPr>
          <w:p w14:paraId="35B6CED7" w14:textId="77777777" w:rsidR="001F6D86" w:rsidRDefault="001F6D86" w:rsidP="001F6D86"/>
          <w:p w14:paraId="786837B6" w14:textId="77777777" w:rsidR="00F25B53" w:rsidRPr="00750020" w:rsidRDefault="00F25B53" w:rsidP="00F25B53">
            <w:r>
              <w:t>Instructional Technology Specialists (ITS) provide faculty training sessions that contribute to faculty development.    Ongoing individual and group training is provided to assist faculty and staff.</w:t>
            </w:r>
          </w:p>
          <w:p w14:paraId="17CEB47F" w14:textId="628B5C81" w:rsidR="00CC5187" w:rsidRDefault="00CC5187" w:rsidP="00494813"/>
        </w:tc>
        <w:tc>
          <w:tcPr>
            <w:tcW w:w="3203" w:type="dxa"/>
            <w:tcBorders>
              <w:left w:val="single" w:sz="4" w:space="0" w:color="auto"/>
              <w:right w:val="single" w:sz="6" w:space="0" w:color="auto"/>
            </w:tcBorders>
          </w:tcPr>
          <w:p w14:paraId="4B7FA8F2" w14:textId="77777777" w:rsidR="00257D13" w:rsidRDefault="00257D13" w:rsidP="001F6D86">
            <w:pPr>
              <w:pStyle w:val="PlainText"/>
              <w:rPr>
                <w:rFonts w:asciiTheme="minorHAnsi" w:hAnsiTheme="minorHAnsi"/>
                <w:szCs w:val="22"/>
              </w:rPr>
            </w:pPr>
          </w:p>
          <w:p w14:paraId="398104A7" w14:textId="286D6BAC" w:rsidR="001F6D86" w:rsidRPr="00485893" w:rsidRDefault="001F6D86" w:rsidP="00BF23B5">
            <w:pPr>
              <w:pStyle w:val="PlainText"/>
              <w:rPr>
                <w:rFonts w:asciiTheme="minorHAnsi" w:hAnsiTheme="minorHAnsi"/>
                <w:szCs w:val="22"/>
              </w:rPr>
            </w:pPr>
            <w:r>
              <w:rPr>
                <w:rFonts w:asciiTheme="minorHAnsi" w:hAnsiTheme="minorHAnsi"/>
                <w:szCs w:val="22"/>
              </w:rPr>
              <w:t>Valerie McCombs conducted the following Workshops/Training Sessions</w:t>
            </w:r>
            <w:r w:rsidR="00BF23B5">
              <w:rPr>
                <w:rFonts w:asciiTheme="minorHAnsi" w:hAnsiTheme="minorHAnsi"/>
                <w:szCs w:val="22"/>
              </w:rPr>
              <w:t>.</w:t>
            </w:r>
          </w:p>
          <w:p w14:paraId="6158396F" w14:textId="60FD9408" w:rsidR="001F6D86" w:rsidRDefault="00915AA0" w:rsidP="001F6D86">
            <w:pPr>
              <w:pStyle w:val="NormalWeb"/>
              <w:numPr>
                <w:ilvl w:val="0"/>
                <w:numId w:val="26"/>
              </w:numPr>
              <w:shd w:val="clear" w:color="auto" w:fill="FFFFFF"/>
              <w:rPr>
                <w:rFonts w:ascii="Calibri" w:hAnsi="Calibri"/>
                <w:color w:val="000000"/>
                <w:sz w:val="22"/>
                <w:szCs w:val="22"/>
              </w:rPr>
            </w:pPr>
            <w:r>
              <w:rPr>
                <w:rFonts w:ascii="Calibri" w:hAnsi="Calibri"/>
                <w:color w:val="000000"/>
                <w:sz w:val="22"/>
                <w:szCs w:val="22"/>
              </w:rPr>
              <w:t>Office 365 Workshops</w:t>
            </w:r>
          </w:p>
          <w:p w14:paraId="7B24F1EF" w14:textId="05B72566" w:rsidR="00915AA0" w:rsidRDefault="007E507F" w:rsidP="00496D65">
            <w:pPr>
              <w:pStyle w:val="NormalWeb"/>
              <w:numPr>
                <w:ilvl w:val="1"/>
                <w:numId w:val="26"/>
              </w:numPr>
              <w:shd w:val="clear" w:color="auto" w:fill="FFFFFF"/>
              <w:rPr>
                <w:rFonts w:ascii="Calibri" w:hAnsi="Calibri"/>
                <w:color w:val="000000"/>
                <w:sz w:val="22"/>
                <w:szCs w:val="22"/>
              </w:rPr>
            </w:pPr>
            <w:r>
              <w:rPr>
                <w:rFonts w:ascii="Calibri" w:hAnsi="Calibri"/>
                <w:color w:val="000000"/>
                <w:sz w:val="22"/>
                <w:szCs w:val="22"/>
              </w:rPr>
              <w:t>4 Sessions at Jefferson Campus</w:t>
            </w:r>
            <w:r w:rsidR="003B5FD5">
              <w:rPr>
                <w:rFonts w:ascii="Calibri" w:hAnsi="Calibri"/>
                <w:color w:val="000000"/>
                <w:sz w:val="22"/>
                <w:szCs w:val="22"/>
              </w:rPr>
              <w:t>, Spring and Summer 2017</w:t>
            </w:r>
          </w:p>
          <w:p w14:paraId="5E2261B1" w14:textId="5A38C1B0" w:rsidR="003B5FD5" w:rsidRPr="003B5FD5" w:rsidRDefault="003B5FD5" w:rsidP="00E2480F">
            <w:pPr>
              <w:pStyle w:val="NormalWeb"/>
              <w:numPr>
                <w:ilvl w:val="1"/>
                <w:numId w:val="26"/>
              </w:numPr>
              <w:shd w:val="clear" w:color="auto" w:fill="FFFFFF"/>
              <w:rPr>
                <w:rFonts w:ascii="Calibri" w:hAnsi="Calibri"/>
                <w:color w:val="000000"/>
                <w:sz w:val="22"/>
                <w:szCs w:val="22"/>
              </w:rPr>
            </w:pPr>
            <w:r w:rsidRPr="003B5FD5">
              <w:rPr>
                <w:rFonts w:ascii="Calibri" w:hAnsi="Calibri"/>
                <w:color w:val="000000"/>
                <w:sz w:val="22"/>
                <w:szCs w:val="22"/>
              </w:rPr>
              <w:t>4 Sessions at Campus, Spring and Summer 2017</w:t>
            </w:r>
          </w:p>
          <w:p w14:paraId="10A044CC" w14:textId="77777777" w:rsidR="001F6D86" w:rsidRPr="00485893" w:rsidRDefault="001F6D86" w:rsidP="001F6D86">
            <w:pPr>
              <w:pStyle w:val="NormalWeb"/>
              <w:numPr>
                <w:ilvl w:val="0"/>
                <w:numId w:val="26"/>
              </w:numPr>
              <w:shd w:val="clear" w:color="auto" w:fill="FFFFFF"/>
              <w:rPr>
                <w:rFonts w:ascii="Calibri" w:hAnsi="Calibri"/>
                <w:color w:val="000000"/>
                <w:sz w:val="22"/>
                <w:szCs w:val="22"/>
              </w:rPr>
            </w:pPr>
            <w:r w:rsidRPr="00485893">
              <w:rPr>
                <w:rFonts w:ascii="Calibri" w:hAnsi="Calibri" w:cs="Arial"/>
                <w:color w:val="212121"/>
                <w:sz w:val="22"/>
                <w:szCs w:val="22"/>
              </w:rPr>
              <w:t>Tac</w:t>
            </w:r>
            <w:r>
              <w:rPr>
                <w:rFonts w:ascii="Calibri" w:hAnsi="Calibri" w:cs="Arial"/>
                <w:color w:val="212121"/>
                <w:sz w:val="22"/>
                <w:szCs w:val="22"/>
              </w:rPr>
              <w:t xml:space="preserve">kling Technology Presentation in ORI 101 </w:t>
            </w:r>
            <w:r w:rsidRPr="00485893">
              <w:rPr>
                <w:rFonts w:ascii="Calibri" w:hAnsi="Calibri" w:cs="Arial"/>
                <w:color w:val="212121"/>
                <w:sz w:val="22"/>
                <w:szCs w:val="22"/>
              </w:rPr>
              <w:t>Student Orientation Courses</w:t>
            </w:r>
          </w:p>
          <w:p w14:paraId="044D8835" w14:textId="2FD5502E" w:rsidR="001F6D86" w:rsidRPr="0009175C" w:rsidRDefault="001F6D86" w:rsidP="00093F8B">
            <w:pPr>
              <w:pStyle w:val="NormalWeb"/>
              <w:numPr>
                <w:ilvl w:val="1"/>
                <w:numId w:val="26"/>
              </w:numPr>
              <w:shd w:val="clear" w:color="auto" w:fill="FFFFFF"/>
              <w:rPr>
                <w:sz w:val="22"/>
                <w:szCs w:val="22"/>
              </w:rPr>
            </w:pPr>
            <w:r w:rsidRPr="00257D13">
              <w:rPr>
                <w:rFonts w:ascii="Calibri" w:hAnsi="Calibri" w:cs="Arial"/>
                <w:color w:val="212121"/>
                <w:sz w:val="22"/>
                <w:szCs w:val="22"/>
              </w:rPr>
              <w:t>Spring 201</w:t>
            </w:r>
            <w:r w:rsidR="00064596">
              <w:rPr>
                <w:rFonts w:ascii="Calibri" w:hAnsi="Calibri" w:cs="Arial"/>
                <w:color w:val="212121"/>
                <w:sz w:val="22"/>
                <w:szCs w:val="22"/>
              </w:rPr>
              <w:t>7</w:t>
            </w:r>
            <w:r w:rsidRPr="00257D13">
              <w:rPr>
                <w:rFonts w:ascii="Calibri" w:hAnsi="Calibri" w:cs="Arial"/>
                <w:color w:val="212121"/>
                <w:sz w:val="22"/>
                <w:szCs w:val="22"/>
              </w:rPr>
              <w:t xml:space="preserve"> - 2 sessions at Jefferson; </w:t>
            </w:r>
            <w:r w:rsidRPr="00877503">
              <w:rPr>
                <w:rFonts w:ascii="Calibri" w:hAnsi="Calibri" w:cs="Arial"/>
                <w:sz w:val="22"/>
                <w:szCs w:val="22"/>
              </w:rPr>
              <w:t>2 sessions at Shelby</w:t>
            </w:r>
          </w:p>
          <w:p w14:paraId="37B159DF" w14:textId="5B6703B1" w:rsidR="00877503" w:rsidRDefault="0009175C" w:rsidP="00EE74B7">
            <w:pPr>
              <w:pStyle w:val="NormalWeb"/>
              <w:numPr>
                <w:ilvl w:val="1"/>
                <w:numId w:val="26"/>
              </w:numPr>
              <w:shd w:val="clear" w:color="auto" w:fill="FFFFFF"/>
              <w:rPr>
                <w:rFonts w:ascii="Calibri" w:hAnsi="Calibri" w:cs="Arial"/>
                <w:color w:val="212121"/>
                <w:sz w:val="22"/>
                <w:szCs w:val="22"/>
              </w:rPr>
            </w:pPr>
            <w:r w:rsidRPr="0009175C">
              <w:rPr>
                <w:rFonts w:ascii="Calibri" w:hAnsi="Calibri" w:cs="Arial"/>
                <w:color w:val="212121"/>
                <w:sz w:val="22"/>
                <w:szCs w:val="22"/>
              </w:rPr>
              <w:t>June and July 2017 session</w:t>
            </w:r>
            <w:r w:rsidR="00B43A11">
              <w:rPr>
                <w:rFonts w:ascii="Calibri" w:hAnsi="Calibri" w:cs="Arial"/>
                <w:color w:val="212121"/>
                <w:sz w:val="22"/>
                <w:szCs w:val="22"/>
              </w:rPr>
              <w:t>s</w:t>
            </w:r>
            <w:r w:rsidRPr="0009175C">
              <w:rPr>
                <w:rFonts w:ascii="Calibri" w:hAnsi="Calibri" w:cs="Arial"/>
                <w:color w:val="212121"/>
                <w:sz w:val="22"/>
                <w:szCs w:val="22"/>
              </w:rPr>
              <w:t xml:space="preserve"> for Summer Boost Students</w:t>
            </w:r>
          </w:p>
          <w:p w14:paraId="61FFE342" w14:textId="30BE34AB" w:rsidR="00B83B91" w:rsidRDefault="00B83B91" w:rsidP="00B83B91">
            <w:pPr>
              <w:pStyle w:val="NormalWeb"/>
              <w:shd w:val="clear" w:color="auto" w:fill="FFFFFF"/>
              <w:rPr>
                <w:rFonts w:ascii="Calibri" w:hAnsi="Calibri" w:cs="Arial"/>
                <w:color w:val="212121"/>
                <w:sz w:val="22"/>
                <w:szCs w:val="22"/>
              </w:rPr>
            </w:pPr>
          </w:p>
          <w:p w14:paraId="0BF747DC" w14:textId="77777777" w:rsidR="00B83B91" w:rsidRPr="0009175C" w:rsidRDefault="00B83B91" w:rsidP="00B83B91">
            <w:pPr>
              <w:pStyle w:val="NormalWeb"/>
              <w:shd w:val="clear" w:color="auto" w:fill="FFFFFF"/>
              <w:rPr>
                <w:rFonts w:ascii="Calibri" w:hAnsi="Calibri" w:cs="Arial"/>
                <w:color w:val="212121"/>
                <w:sz w:val="22"/>
                <w:szCs w:val="22"/>
              </w:rPr>
            </w:pPr>
          </w:p>
          <w:p w14:paraId="6FEF3663" w14:textId="7110E2AF" w:rsidR="001F6D86" w:rsidRDefault="001F6D86" w:rsidP="00877503">
            <w:pPr>
              <w:pStyle w:val="NormalWeb"/>
              <w:shd w:val="clear" w:color="auto" w:fill="FFFFFF"/>
              <w:rPr>
                <w:b/>
                <w:color w:val="FF0000"/>
                <w:u w:val="single"/>
              </w:rPr>
            </w:pPr>
          </w:p>
        </w:tc>
        <w:tc>
          <w:tcPr>
            <w:tcW w:w="3256" w:type="dxa"/>
            <w:tcBorders>
              <w:left w:val="single" w:sz="6" w:space="0" w:color="auto"/>
            </w:tcBorders>
          </w:tcPr>
          <w:p w14:paraId="2298458C" w14:textId="77777777" w:rsidR="00257D13" w:rsidRDefault="00257D13" w:rsidP="001F6D86">
            <w:pPr>
              <w:pStyle w:val="PlainText"/>
              <w:rPr>
                <w:rFonts w:asciiTheme="minorHAnsi" w:hAnsiTheme="minorHAnsi"/>
                <w:szCs w:val="22"/>
              </w:rPr>
            </w:pPr>
          </w:p>
          <w:p w14:paraId="6544247B" w14:textId="098D83B5" w:rsidR="00494813" w:rsidRDefault="00CD1CD8" w:rsidP="001F6D86">
            <w:pPr>
              <w:pStyle w:val="PlainText"/>
            </w:pPr>
            <w:r>
              <w:t xml:space="preserve">Greg McCallister and Valerie McCombs were reassigned to the IT Department in Spring 2017.  Both continue to support </w:t>
            </w:r>
            <w:r w:rsidR="002514AD">
              <w:t>faculty and students</w:t>
            </w:r>
            <w:r w:rsidR="00AC70F0">
              <w:t xml:space="preserve"> </w:t>
            </w:r>
            <w:r w:rsidR="004C3960">
              <w:t xml:space="preserve">in distance education courses. </w:t>
            </w:r>
          </w:p>
          <w:p w14:paraId="42CA3505" w14:textId="6260CCF1" w:rsidR="00177FD2" w:rsidRDefault="00177FD2" w:rsidP="001F6D86">
            <w:pPr>
              <w:pStyle w:val="PlainText"/>
              <w:rPr>
                <w:szCs w:val="22"/>
              </w:rPr>
            </w:pPr>
          </w:p>
          <w:p w14:paraId="36A3285F" w14:textId="6F5C3A8F" w:rsidR="00177FD2" w:rsidRPr="00CD1CD8" w:rsidRDefault="00177FD2" w:rsidP="001F6D86">
            <w:pPr>
              <w:pStyle w:val="PlainText"/>
              <w:rPr>
                <w:szCs w:val="22"/>
              </w:rPr>
            </w:pPr>
            <w:r>
              <w:rPr>
                <w:szCs w:val="22"/>
              </w:rPr>
              <w:t xml:space="preserve">Valerie McCombs will provide </w:t>
            </w:r>
            <w:r w:rsidR="00E60FA6">
              <w:rPr>
                <w:szCs w:val="22"/>
              </w:rPr>
              <w:t xml:space="preserve">faculty </w:t>
            </w:r>
            <w:r>
              <w:rPr>
                <w:szCs w:val="22"/>
              </w:rPr>
              <w:t xml:space="preserve">training in advance of the college’s </w:t>
            </w:r>
            <w:r w:rsidR="00E60FA6">
              <w:rPr>
                <w:szCs w:val="22"/>
              </w:rPr>
              <w:t xml:space="preserve">December 2017 </w:t>
            </w:r>
            <w:r>
              <w:rPr>
                <w:szCs w:val="22"/>
              </w:rPr>
              <w:t xml:space="preserve">migration </w:t>
            </w:r>
            <w:r w:rsidR="001D479D">
              <w:rPr>
                <w:szCs w:val="22"/>
              </w:rPr>
              <w:t xml:space="preserve">from </w:t>
            </w:r>
            <w:r w:rsidR="00E60FA6">
              <w:rPr>
                <w:szCs w:val="22"/>
              </w:rPr>
              <w:t xml:space="preserve">self-hosted Blackboard Learn to </w:t>
            </w:r>
            <w:r w:rsidR="001D479D">
              <w:rPr>
                <w:szCs w:val="22"/>
              </w:rPr>
              <w:t>cloud hosted Blackboard Learn</w:t>
            </w:r>
            <w:r w:rsidR="00E60FA6">
              <w:rPr>
                <w:szCs w:val="22"/>
              </w:rPr>
              <w:t>.</w:t>
            </w:r>
          </w:p>
          <w:p w14:paraId="062D6E78" w14:textId="77777777" w:rsidR="001F6D86" w:rsidRDefault="001F6D86" w:rsidP="001F6D86">
            <w:pPr>
              <w:rPr>
                <w:color w:val="FF0000"/>
              </w:rPr>
            </w:pPr>
          </w:p>
          <w:p w14:paraId="770DEC5B" w14:textId="77777777" w:rsidR="001F6D86" w:rsidRDefault="001F6D86" w:rsidP="001F6D86">
            <w:pPr>
              <w:rPr>
                <w:color w:val="FF0000"/>
              </w:rPr>
            </w:pPr>
          </w:p>
          <w:p w14:paraId="3E5F70CF" w14:textId="77777777" w:rsidR="001F6D86" w:rsidRDefault="001F6D86" w:rsidP="001F6D86">
            <w:pPr>
              <w:rPr>
                <w:color w:val="FF0000"/>
              </w:rPr>
            </w:pPr>
          </w:p>
          <w:p w14:paraId="47067464" w14:textId="6C316793" w:rsidR="001F6D86" w:rsidRDefault="001F6D86" w:rsidP="001F6D86">
            <w:pPr>
              <w:rPr>
                <w:color w:val="FF0000"/>
              </w:rPr>
            </w:pPr>
          </w:p>
        </w:tc>
      </w:tr>
      <w:tr w:rsidR="001F6D86" w14:paraId="52D92596" w14:textId="77777777" w:rsidTr="000B4722">
        <w:trPr>
          <w:trHeight w:val="54"/>
        </w:trPr>
        <w:tc>
          <w:tcPr>
            <w:tcW w:w="3183" w:type="dxa"/>
            <w:tcBorders>
              <w:right w:val="single" w:sz="6" w:space="0" w:color="auto"/>
            </w:tcBorders>
          </w:tcPr>
          <w:p w14:paraId="0A68A4CF" w14:textId="77777777" w:rsidR="006022DA" w:rsidRDefault="006022DA" w:rsidP="00C07AC6">
            <w:pPr>
              <w:rPr>
                <w:b/>
              </w:rPr>
            </w:pPr>
          </w:p>
          <w:p w14:paraId="2CEB442B" w14:textId="013286C3" w:rsidR="00C07AC6" w:rsidRDefault="00C07AC6" w:rsidP="00C07AC6">
            <w:r w:rsidRPr="008770F5">
              <w:rPr>
                <w:b/>
              </w:rPr>
              <w:t xml:space="preserve">Goal </w:t>
            </w:r>
            <w:r>
              <w:rPr>
                <w:b/>
              </w:rPr>
              <w:t>10</w:t>
            </w:r>
            <w:r w:rsidRPr="008770F5">
              <w:rPr>
                <w:b/>
              </w:rPr>
              <w:t xml:space="preserve">:   </w:t>
            </w:r>
            <w:r w:rsidRPr="008770F5">
              <w:t xml:space="preserve">Continue assessment of Internet and hybrid/blended courses. </w:t>
            </w:r>
          </w:p>
          <w:p w14:paraId="79B8A1ED" w14:textId="3B28F8D5" w:rsidR="00BC13EB" w:rsidRDefault="00BC13EB" w:rsidP="00C07AC6"/>
          <w:p w14:paraId="1D52D6FA" w14:textId="19319B3D" w:rsidR="00BC13EB" w:rsidRPr="008770F5" w:rsidRDefault="00BC13EB" w:rsidP="00BC13EB">
            <w:r w:rsidRPr="00BC13EB">
              <w:rPr>
                <w:u w:val="single"/>
              </w:rPr>
              <w:t>Objective</w:t>
            </w:r>
            <w:r>
              <w:t>:</w:t>
            </w:r>
            <w:r w:rsidRPr="008770F5">
              <w:t xml:space="preserve"> </w:t>
            </w:r>
            <w:r>
              <w:t xml:space="preserve"> I</w:t>
            </w:r>
            <w:r w:rsidRPr="008770F5">
              <w:t>nstructors teaching Internet and hybrid/blended courses will work together to evaluate their courses to insure course objectives and college quality standards are met.</w:t>
            </w:r>
          </w:p>
          <w:p w14:paraId="1F739288" w14:textId="77777777" w:rsidR="001F6D86" w:rsidRDefault="001F6D86" w:rsidP="00BC13EB"/>
          <w:p w14:paraId="51E65372" w14:textId="77777777" w:rsidR="00CD48C9" w:rsidRDefault="00CD48C9" w:rsidP="00BC13EB"/>
          <w:p w14:paraId="0DD727D8" w14:textId="2FC9203B" w:rsidR="00CD48C9" w:rsidRDefault="00CD48C9" w:rsidP="00BC13EB"/>
        </w:tc>
        <w:tc>
          <w:tcPr>
            <w:tcW w:w="3302" w:type="dxa"/>
            <w:tcBorders>
              <w:left w:val="single" w:sz="6" w:space="0" w:color="auto"/>
              <w:right w:val="single" w:sz="4" w:space="0" w:color="auto"/>
            </w:tcBorders>
          </w:tcPr>
          <w:p w14:paraId="287BB38E" w14:textId="77777777" w:rsidR="00BE7CC0" w:rsidRDefault="00BE7CC0" w:rsidP="00BE7CC0">
            <w:pPr>
              <w:pStyle w:val="NoSpacing"/>
            </w:pPr>
          </w:p>
          <w:p w14:paraId="4CB906F5" w14:textId="714CC057" w:rsidR="00BE7CC0" w:rsidRDefault="00BE7CC0" w:rsidP="00BE7CC0">
            <w:pPr>
              <w:pStyle w:val="NoSpacing"/>
            </w:pPr>
            <w:r>
              <w:t>Individual</w:t>
            </w:r>
            <w:r>
              <w:rPr>
                <w:spacing w:val="-7"/>
              </w:rPr>
              <w:t xml:space="preserve"> Internet and hybrid/blended </w:t>
            </w:r>
            <w:r>
              <w:t>courses are</w:t>
            </w:r>
            <w:r>
              <w:rPr>
                <w:spacing w:val="1"/>
              </w:rPr>
              <w:t xml:space="preserve"> </w:t>
            </w:r>
            <w:r>
              <w:t>periodically</w:t>
            </w:r>
            <w:r>
              <w:rPr>
                <w:spacing w:val="-8"/>
              </w:rPr>
              <w:t xml:space="preserve"> evaluated through peer review </w:t>
            </w:r>
            <w:r>
              <w:t>to</w:t>
            </w:r>
            <w:r>
              <w:rPr>
                <w:spacing w:val="94"/>
              </w:rPr>
              <w:t xml:space="preserve"> </w:t>
            </w:r>
            <w:r>
              <w:t>maintain</w:t>
            </w:r>
            <w:r>
              <w:rPr>
                <w:spacing w:val="6"/>
              </w:rPr>
              <w:t xml:space="preserve"> </w:t>
            </w:r>
            <w:r>
              <w:t>integrity</w:t>
            </w:r>
            <w:r>
              <w:rPr>
                <w:spacing w:val="-8"/>
              </w:rPr>
              <w:t xml:space="preserve"> </w:t>
            </w:r>
            <w:r>
              <w:t>and</w:t>
            </w:r>
            <w:r>
              <w:rPr>
                <w:spacing w:val="2"/>
              </w:rPr>
              <w:t xml:space="preserve"> </w:t>
            </w:r>
            <w:r>
              <w:t>quality,</w:t>
            </w:r>
            <w:r>
              <w:rPr>
                <w:spacing w:val="4"/>
              </w:rPr>
              <w:t xml:space="preserve"> </w:t>
            </w:r>
            <w:r>
              <w:t>as well</w:t>
            </w:r>
            <w:r>
              <w:rPr>
                <w:spacing w:val="-7"/>
              </w:rPr>
              <w:t xml:space="preserve"> </w:t>
            </w:r>
            <w:r>
              <w:rPr>
                <w:spacing w:val="1"/>
              </w:rPr>
              <w:t>as</w:t>
            </w:r>
            <w:r>
              <w:t xml:space="preserve"> comparability,</w:t>
            </w:r>
            <w:r>
              <w:rPr>
                <w:spacing w:val="4"/>
              </w:rPr>
              <w:t xml:space="preserve"> </w:t>
            </w:r>
            <w:r>
              <w:rPr>
                <w:spacing w:val="2"/>
              </w:rPr>
              <w:t>of</w:t>
            </w:r>
            <w:r>
              <w:rPr>
                <w:spacing w:val="-6"/>
              </w:rPr>
              <w:t xml:space="preserve"> </w:t>
            </w:r>
            <w:r>
              <w:t>distance</w:t>
            </w:r>
            <w:r>
              <w:rPr>
                <w:spacing w:val="1"/>
              </w:rPr>
              <w:t xml:space="preserve"> </w:t>
            </w:r>
            <w:r>
              <w:t>education</w:t>
            </w:r>
            <w:r>
              <w:rPr>
                <w:spacing w:val="-3"/>
              </w:rPr>
              <w:t xml:space="preserve"> </w:t>
            </w:r>
            <w:r>
              <w:t xml:space="preserve">courses. </w:t>
            </w:r>
            <w:r>
              <w:rPr>
                <w:spacing w:val="2"/>
              </w:rPr>
              <w:t xml:space="preserve"> </w:t>
            </w:r>
            <w:r>
              <w:rPr>
                <w:spacing w:val="-3"/>
              </w:rPr>
              <w:t>The</w:t>
            </w:r>
            <w:r>
              <w:rPr>
                <w:spacing w:val="49"/>
              </w:rPr>
              <w:t xml:space="preserve"> </w:t>
            </w:r>
            <w:r>
              <w:t>Distance</w:t>
            </w:r>
            <w:r>
              <w:rPr>
                <w:spacing w:val="1"/>
              </w:rPr>
              <w:t xml:space="preserve"> </w:t>
            </w:r>
            <w:r>
              <w:t>Education</w:t>
            </w:r>
            <w:r>
              <w:rPr>
                <w:spacing w:val="-3"/>
              </w:rPr>
              <w:t xml:space="preserve"> </w:t>
            </w:r>
            <w:r>
              <w:t>Course</w:t>
            </w:r>
            <w:r>
              <w:rPr>
                <w:spacing w:val="1"/>
              </w:rPr>
              <w:t xml:space="preserve"> </w:t>
            </w:r>
            <w:r>
              <w:t>Evaluation</w:t>
            </w:r>
            <w:r>
              <w:rPr>
                <w:spacing w:val="2"/>
              </w:rPr>
              <w:t xml:space="preserve"> </w:t>
            </w:r>
            <w:r>
              <w:t>form</w:t>
            </w:r>
            <w:r>
              <w:rPr>
                <w:spacing w:val="-7"/>
              </w:rPr>
              <w:t xml:space="preserve"> </w:t>
            </w:r>
            <w:r>
              <w:t>is</w:t>
            </w:r>
            <w:r>
              <w:rPr>
                <w:spacing w:val="7"/>
              </w:rPr>
              <w:t xml:space="preserve"> </w:t>
            </w:r>
            <w:r>
              <w:t>used</w:t>
            </w:r>
            <w:r>
              <w:rPr>
                <w:spacing w:val="7"/>
              </w:rPr>
              <w:t xml:space="preserve"> </w:t>
            </w:r>
            <w:r>
              <w:rPr>
                <w:spacing w:val="-3"/>
              </w:rPr>
              <w:t xml:space="preserve">in </w:t>
            </w:r>
            <w:r>
              <w:rPr>
                <w:spacing w:val="-2"/>
              </w:rPr>
              <w:t>this</w:t>
            </w:r>
            <w:r>
              <w:t xml:space="preserve"> process. </w:t>
            </w:r>
          </w:p>
          <w:p w14:paraId="122052C1" w14:textId="040F9898" w:rsidR="00503D88" w:rsidRDefault="00503D88" w:rsidP="001F6D86"/>
        </w:tc>
        <w:tc>
          <w:tcPr>
            <w:tcW w:w="3203" w:type="dxa"/>
            <w:tcBorders>
              <w:left w:val="single" w:sz="4" w:space="0" w:color="auto"/>
              <w:right w:val="single" w:sz="6" w:space="0" w:color="auto"/>
            </w:tcBorders>
          </w:tcPr>
          <w:p w14:paraId="2FC9B99E" w14:textId="77777777" w:rsidR="00BE7CC0" w:rsidRDefault="00BE7CC0" w:rsidP="001F6D86"/>
          <w:p w14:paraId="7D136773" w14:textId="6CF59E97" w:rsidR="001F6D86" w:rsidRDefault="00300244" w:rsidP="001F6D86">
            <w:pPr>
              <w:rPr>
                <w:b/>
                <w:color w:val="FF0000"/>
                <w:u w:val="single"/>
              </w:rPr>
            </w:pPr>
            <w:r>
              <w:t>Distance Education specialist Valerie McCombs review</w:t>
            </w:r>
            <w:r w:rsidR="000A201A">
              <w:t>e</w:t>
            </w:r>
            <w:r>
              <w:t>d</w:t>
            </w:r>
            <w:r w:rsidR="003D50F4">
              <w:t xml:space="preserve"> </w:t>
            </w:r>
            <w:r w:rsidR="00B41A53" w:rsidRPr="00B41A53">
              <w:t>English</w:t>
            </w:r>
            <w:r w:rsidR="003D50F4">
              <w:t xml:space="preserve"> Internet courses offered during the 2017 spring semester. </w:t>
            </w:r>
          </w:p>
        </w:tc>
        <w:tc>
          <w:tcPr>
            <w:tcW w:w="3256" w:type="dxa"/>
            <w:tcBorders>
              <w:left w:val="single" w:sz="6" w:space="0" w:color="auto"/>
            </w:tcBorders>
          </w:tcPr>
          <w:p w14:paraId="643A88B9" w14:textId="77777777" w:rsidR="00BE7CC0" w:rsidRDefault="00BE7CC0" w:rsidP="001F6D86"/>
          <w:p w14:paraId="6C74AB36" w14:textId="4F09F11B" w:rsidR="001F6D86" w:rsidRDefault="003D50F4" w:rsidP="001F6D86">
            <w:r>
              <w:t xml:space="preserve">Periodic review of distance education courses is </w:t>
            </w:r>
            <w:proofErr w:type="gramStart"/>
            <w:r>
              <w:t>ongoing, and</w:t>
            </w:r>
            <w:proofErr w:type="gramEnd"/>
            <w:r>
              <w:t xml:space="preserve"> will continue in </w:t>
            </w:r>
            <w:r w:rsidR="004A1ECA">
              <w:t>201</w:t>
            </w:r>
            <w:r w:rsidR="006022DA">
              <w:t>7</w:t>
            </w:r>
            <w:r w:rsidR="004A1ECA">
              <w:t>-1</w:t>
            </w:r>
            <w:r w:rsidR="006022DA">
              <w:t>8</w:t>
            </w:r>
            <w:r w:rsidR="004A1ECA">
              <w:t>.</w:t>
            </w:r>
          </w:p>
        </w:tc>
      </w:tr>
      <w:tr w:rsidR="00645E94" w14:paraId="69AF254F" w14:textId="77777777" w:rsidTr="006B5B2D">
        <w:trPr>
          <w:trHeight w:val="54"/>
        </w:trPr>
        <w:tc>
          <w:tcPr>
            <w:tcW w:w="3183" w:type="dxa"/>
            <w:tcBorders>
              <w:right w:val="single" w:sz="6" w:space="0" w:color="auto"/>
            </w:tcBorders>
          </w:tcPr>
          <w:p w14:paraId="0832AA4B" w14:textId="4408388C" w:rsidR="00A31908" w:rsidRPr="00C46EF3" w:rsidRDefault="00A31908" w:rsidP="00811514">
            <w:pPr>
              <w:rPr>
                <w:b/>
                <w:color w:val="FF0000"/>
              </w:rPr>
            </w:pPr>
          </w:p>
          <w:p w14:paraId="46F567E9" w14:textId="6CA4C551" w:rsidR="00811514" w:rsidRPr="008770F5" w:rsidRDefault="00645E94" w:rsidP="00811514">
            <w:r w:rsidRPr="008770F5">
              <w:rPr>
                <w:b/>
              </w:rPr>
              <w:t xml:space="preserve">Goal </w:t>
            </w:r>
            <w:r>
              <w:rPr>
                <w:b/>
              </w:rPr>
              <w:t>12</w:t>
            </w:r>
            <w:r w:rsidRPr="008770F5">
              <w:rPr>
                <w:b/>
              </w:rPr>
              <w:t xml:space="preserve">:   </w:t>
            </w:r>
            <w:r w:rsidR="00811514" w:rsidRPr="008770F5">
              <w:t>Conduct needs assessment related to lecture capture resources and aging interactive videoconference equipment.</w:t>
            </w:r>
          </w:p>
          <w:p w14:paraId="432B6065" w14:textId="77777777" w:rsidR="005907B4" w:rsidRDefault="005907B4" w:rsidP="00811514">
            <w:pPr>
              <w:rPr>
                <w:u w:val="single"/>
              </w:rPr>
            </w:pPr>
          </w:p>
          <w:p w14:paraId="4FA0370D" w14:textId="2C43E16A" w:rsidR="00811514" w:rsidRPr="00811514" w:rsidRDefault="00811514" w:rsidP="00811514">
            <w:pPr>
              <w:rPr>
                <w:u w:val="single"/>
              </w:rPr>
            </w:pPr>
            <w:r w:rsidRPr="00811514">
              <w:rPr>
                <w:u w:val="single"/>
              </w:rPr>
              <w:t>Objectives</w:t>
            </w:r>
          </w:p>
          <w:p w14:paraId="5B949B71" w14:textId="77777777" w:rsidR="009852BA" w:rsidRDefault="00811514" w:rsidP="00260CE7">
            <w:pPr>
              <w:pStyle w:val="ListParagraph"/>
              <w:numPr>
                <w:ilvl w:val="0"/>
                <w:numId w:val="49"/>
              </w:numPr>
            </w:pPr>
            <w:r w:rsidRPr="008770F5">
              <w:t xml:space="preserve">Determine the state of existing </w:t>
            </w:r>
            <w:proofErr w:type="gramStart"/>
            <w:r w:rsidRPr="008770F5">
              <w:t>interactive</w:t>
            </w:r>
            <w:r w:rsidR="009852BA">
              <w:t xml:space="preserve"> </w:t>
            </w:r>
            <w:r w:rsidRPr="008770F5">
              <w:t xml:space="preserve"> videoconference</w:t>
            </w:r>
            <w:proofErr w:type="gramEnd"/>
            <w:r w:rsidRPr="008770F5">
              <w:t xml:space="preserve"> resources.</w:t>
            </w:r>
          </w:p>
          <w:p w14:paraId="3F00BA33" w14:textId="77777777" w:rsidR="009852BA" w:rsidRDefault="00811514" w:rsidP="006B3E3B">
            <w:pPr>
              <w:pStyle w:val="ListParagraph"/>
              <w:numPr>
                <w:ilvl w:val="0"/>
                <w:numId w:val="49"/>
              </w:numPr>
            </w:pPr>
            <w:r w:rsidRPr="008770F5">
              <w:t xml:space="preserve">Determine the state of existing lecture capture resources. </w:t>
            </w:r>
          </w:p>
          <w:p w14:paraId="3006FA9F" w14:textId="77777777" w:rsidR="006C1637" w:rsidRDefault="00811514" w:rsidP="006B3E3B">
            <w:pPr>
              <w:pStyle w:val="ListParagraph"/>
              <w:numPr>
                <w:ilvl w:val="0"/>
                <w:numId w:val="49"/>
              </w:numPr>
            </w:pPr>
            <w:r w:rsidRPr="008770F5">
              <w:t>Determine current use of both resources.</w:t>
            </w:r>
          </w:p>
          <w:p w14:paraId="0218636E" w14:textId="77777777" w:rsidR="006C1637" w:rsidRDefault="00811514" w:rsidP="006B3E3B">
            <w:pPr>
              <w:pStyle w:val="ListParagraph"/>
              <w:numPr>
                <w:ilvl w:val="0"/>
                <w:numId w:val="49"/>
              </w:numPr>
            </w:pPr>
            <w:r w:rsidRPr="008770F5">
              <w:t>Explore possibilities for expanded use of both resources to meet college-wide needs.</w:t>
            </w:r>
          </w:p>
          <w:p w14:paraId="0A2A403A" w14:textId="6E7E65E8" w:rsidR="00811514" w:rsidRPr="008770F5" w:rsidRDefault="00811514" w:rsidP="006B3E3B">
            <w:pPr>
              <w:pStyle w:val="ListParagraph"/>
              <w:numPr>
                <w:ilvl w:val="0"/>
                <w:numId w:val="49"/>
              </w:numPr>
            </w:pPr>
            <w:r w:rsidRPr="008770F5">
              <w:t>Explore alternatives to current approaches and resources that could benefit the college.</w:t>
            </w:r>
          </w:p>
          <w:p w14:paraId="50C89D24" w14:textId="77777777" w:rsidR="00645E94" w:rsidRDefault="00645E94" w:rsidP="00992CE2"/>
        </w:tc>
        <w:tc>
          <w:tcPr>
            <w:tcW w:w="3302" w:type="dxa"/>
            <w:tcBorders>
              <w:left w:val="single" w:sz="6" w:space="0" w:color="auto"/>
              <w:right w:val="single" w:sz="4" w:space="0" w:color="auto"/>
            </w:tcBorders>
          </w:tcPr>
          <w:p w14:paraId="2C2C073F" w14:textId="77777777" w:rsidR="00645E94" w:rsidRDefault="00645E94" w:rsidP="006B5B2D"/>
          <w:p w14:paraId="5E1E6B68" w14:textId="66B71EC3" w:rsidR="00424A9C" w:rsidRDefault="00A31908" w:rsidP="006B5B2D">
            <w:r>
              <w:t>Jefferson State has interactive videoconference rooms at each of its four campuses</w:t>
            </w:r>
            <w:r w:rsidR="00AA2B1B">
              <w:t xml:space="preserve">:  two each at Jefferson and Shelby, and one each at </w:t>
            </w:r>
            <w:r w:rsidR="00762E40">
              <w:t>Pell City and Clanton</w:t>
            </w:r>
            <w:r>
              <w:t xml:space="preserve">.  These rooms are used </w:t>
            </w:r>
            <w:r w:rsidR="0035153A">
              <w:t>to deliver courses</w:t>
            </w:r>
            <w:r w:rsidR="007E725D">
              <w:t xml:space="preserve"> and</w:t>
            </w:r>
            <w:r w:rsidR="0035153A">
              <w:t xml:space="preserve"> facilitate </w:t>
            </w:r>
            <w:r w:rsidR="007E725D">
              <w:t xml:space="preserve">intercampus meetings.  </w:t>
            </w:r>
          </w:p>
          <w:p w14:paraId="61B0A36F" w14:textId="77777777" w:rsidR="00424A9C" w:rsidRDefault="00424A9C" w:rsidP="006B5B2D"/>
          <w:p w14:paraId="3B4145BF" w14:textId="3F756050" w:rsidR="00A31908" w:rsidRDefault="004A39F7" w:rsidP="006B5B2D">
            <w:r>
              <w:t>C</w:t>
            </w:r>
            <w:r w:rsidR="00424A9C">
              <w:t xml:space="preserve">loud based </w:t>
            </w:r>
            <w:proofErr w:type="spellStart"/>
            <w:r w:rsidR="00424A9C">
              <w:t>Tegrity</w:t>
            </w:r>
            <w:proofErr w:type="spellEnd"/>
            <w:r w:rsidR="00424A9C">
              <w:t xml:space="preserve"> lecture capture </w:t>
            </w:r>
            <w:r w:rsidR="00000794">
              <w:t xml:space="preserve">service </w:t>
            </w:r>
            <w:r w:rsidR="00B82F12">
              <w:t xml:space="preserve">is available to instructors who want to create instructional videos for their courses.  </w:t>
            </w:r>
            <w:proofErr w:type="spellStart"/>
            <w:r w:rsidR="00B82F12">
              <w:t>Tegrity</w:t>
            </w:r>
            <w:proofErr w:type="spellEnd"/>
            <w:r w:rsidR="00B82F12">
              <w:t xml:space="preserve"> can also be used by students to create recordings, and by instructors as a platform for remote test proctoring.</w:t>
            </w:r>
            <w:r w:rsidR="00424A9C">
              <w:t xml:space="preserve"> </w:t>
            </w:r>
            <w:r w:rsidR="00A31908">
              <w:t xml:space="preserve"> </w:t>
            </w:r>
          </w:p>
        </w:tc>
        <w:tc>
          <w:tcPr>
            <w:tcW w:w="3203" w:type="dxa"/>
            <w:tcBorders>
              <w:left w:val="single" w:sz="4" w:space="0" w:color="auto"/>
              <w:right w:val="single" w:sz="6" w:space="0" w:color="auto"/>
            </w:tcBorders>
          </w:tcPr>
          <w:p w14:paraId="5024D613" w14:textId="77777777" w:rsidR="00645E94" w:rsidRDefault="00645E94" w:rsidP="006B5B2D">
            <w:pPr>
              <w:rPr>
                <w:b/>
                <w:color w:val="FF0000"/>
                <w:u w:val="single"/>
              </w:rPr>
            </w:pPr>
          </w:p>
          <w:p w14:paraId="2A671956" w14:textId="3F9E7C81" w:rsidR="005D2ECA" w:rsidRDefault="00D17C32" w:rsidP="006B5B2D">
            <w:r>
              <w:t>Videoconference e</w:t>
            </w:r>
            <w:r w:rsidR="00267C8D">
              <w:t>quipment in</w:t>
            </w:r>
            <w:r>
              <w:t xml:space="preserve"> the most used room at Shelby-Hoover Campus, HSB 335, </w:t>
            </w:r>
            <w:r w:rsidR="0056176E">
              <w:t xml:space="preserve">started to fail during the 2016 fall semester.  </w:t>
            </w:r>
            <w:r w:rsidR="00DC1797">
              <w:t xml:space="preserve">Shifting equipment from </w:t>
            </w:r>
            <w:r w:rsidR="00266894">
              <w:t>HSB 344</w:t>
            </w:r>
            <w:r w:rsidR="00DC1797">
              <w:t xml:space="preserve"> </w:t>
            </w:r>
            <w:r w:rsidR="000E7D24">
              <w:t xml:space="preserve">solved the problem, </w:t>
            </w:r>
            <w:r w:rsidR="00D36F26">
              <w:t xml:space="preserve">but </w:t>
            </w:r>
            <w:r w:rsidR="000E7D24">
              <w:t xml:space="preserve">the incident indicated that </w:t>
            </w:r>
            <w:r w:rsidR="007B25D9">
              <w:t>broader</w:t>
            </w:r>
            <w:r w:rsidR="000E7D24">
              <w:t xml:space="preserve"> problems</w:t>
            </w:r>
            <w:r w:rsidR="007B25D9">
              <w:t xml:space="preserve"> associated with aging equipment</w:t>
            </w:r>
            <w:r w:rsidR="000E7D24">
              <w:t xml:space="preserve"> were possible.  </w:t>
            </w:r>
            <w:r w:rsidR="00F355B7">
              <w:t xml:space="preserve">Equipment to modernize HSB </w:t>
            </w:r>
            <w:r w:rsidR="00BC3D39">
              <w:t>334</w:t>
            </w:r>
            <w:r w:rsidR="00F355B7">
              <w:t xml:space="preserve"> was ordered during the </w:t>
            </w:r>
            <w:r w:rsidR="005D1B93">
              <w:t xml:space="preserve">2017 </w:t>
            </w:r>
            <w:r w:rsidR="00F355B7">
              <w:t xml:space="preserve">spring </w:t>
            </w:r>
            <w:proofErr w:type="gramStart"/>
            <w:r w:rsidR="005D1B93">
              <w:t>semester, and</w:t>
            </w:r>
            <w:proofErr w:type="gramEnd"/>
            <w:r w:rsidR="005D1B93">
              <w:t xml:space="preserve"> is performing well with existing resources.</w:t>
            </w:r>
          </w:p>
          <w:p w14:paraId="504D55F0" w14:textId="77777777" w:rsidR="005D2ECA" w:rsidRDefault="005D2ECA" w:rsidP="006B5B2D"/>
          <w:p w14:paraId="50FE6FC5" w14:textId="77777777" w:rsidR="0028306B" w:rsidRDefault="005D2ECA" w:rsidP="006B5B2D">
            <w:r>
              <w:t xml:space="preserve">Total </w:t>
            </w:r>
            <w:r w:rsidR="0028306B">
              <w:t>–</w:t>
            </w:r>
            <w:r>
              <w:t xml:space="preserve"> </w:t>
            </w:r>
            <w:r w:rsidR="0028306B">
              <w:t>$39,735.33</w:t>
            </w:r>
          </w:p>
          <w:p w14:paraId="07470F72" w14:textId="77777777" w:rsidR="0028306B" w:rsidRDefault="0028306B" w:rsidP="006B5B2D"/>
          <w:p w14:paraId="521D77CB" w14:textId="53BAC0BB" w:rsidR="0005638B" w:rsidRPr="00BF1012" w:rsidRDefault="0005638B" w:rsidP="006B5B2D"/>
        </w:tc>
        <w:tc>
          <w:tcPr>
            <w:tcW w:w="3256" w:type="dxa"/>
            <w:tcBorders>
              <w:left w:val="single" w:sz="6" w:space="0" w:color="auto"/>
            </w:tcBorders>
          </w:tcPr>
          <w:p w14:paraId="1AFA3CB2" w14:textId="77777777" w:rsidR="00645E94" w:rsidRDefault="00645E94" w:rsidP="006B5B2D"/>
          <w:p w14:paraId="17CAC906" w14:textId="0500381C" w:rsidR="00DC4694" w:rsidRDefault="003F5E90" w:rsidP="005D1B93">
            <w:r>
              <w:t>T</w:t>
            </w:r>
            <w:r w:rsidR="00D57DF7">
              <w:t xml:space="preserve">he </w:t>
            </w:r>
            <w:r w:rsidR="00C439B5">
              <w:t>IT Department will</w:t>
            </w:r>
            <w:r w:rsidR="00E74D40">
              <w:t xml:space="preserve"> </w:t>
            </w:r>
            <w:r w:rsidR="00D57DF7">
              <w:t xml:space="preserve">modernize </w:t>
            </w:r>
            <w:r w:rsidR="008C57EF">
              <w:t>CH 212, the most frequently used videoconference room at Jefferson Campus</w:t>
            </w:r>
            <w:r w:rsidR="00C757D8">
              <w:t xml:space="preserve"> in 2017-18</w:t>
            </w:r>
            <w:r w:rsidR="008C57EF">
              <w:t>.</w:t>
            </w:r>
            <w:r>
              <w:t xml:space="preserve">  </w:t>
            </w:r>
            <w:r w:rsidR="008C57EF">
              <w:t xml:space="preserve"> </w:t>
            </w:r>
            <w:r w:rsidR="006044C4">
              <w:t>E</w:t>
            </w:r>
            <w:r w:rsidR="0027467E">
              <w:t xml:space="preserve">quipment </w:t>
            </w:r>
            <w:r w:rsidR="00884CFA">
              <w:t xml:space="preserve">in CH 212 </w:t>
            </w:r>
            <w:r w:rsidR="00314C5E">
              <w:t xml:space="preserve">is </w:t>
            </w:r>
            <w:r w:rsidR="001B0401">
              <w:t xml:space="preserve">in working order, </w:t>
            </w:r>
            <w:r w:rsidR="007856CE">
              <w:t>so the upgrade will</w:t>
            </w:r>
            <w:r w:rsidR="00867572">
              <w:t xml:space="preserve"> make </w:t>
            </w:r>
            <w:r w:rsidR="00314C5E">
              <w:t>resources</w:t>
            </w:r>
            <w:r w:rsidR="00884CFA">
              <w:t xml:space="preserve"> available</w:t>
            </w:r>
            <w:r w:rsidR="00314C5E">
              <w:t xml:space="preserve"> to address problems that </w:t>
            </w:r>
            <w:r w:rsidR="00B2104D">
              <w:t xml:space="preserve">may </w:t>
            </w:r>
            <w:r w:rsidR="00314C5E">
              <w:t>arise</w:t>
            </w:r>
            <w:r w:rsidR="0080348A">
              <w:t xml:space="preserve"> </w:t>
            </w:r>
            <w:r w:rsidR="00B2104D">
              <w:t>while</w:t>
            </w:r>
            <w:r w:rsidR="0080348A">
              <w:t xml:space="preserve"> the college </w:t>
            </w:r>
            <w:proofErr w:type="gramStart"/>
            <w:r w:rsidR="00B2104D">
              <w:t xml:space="preserve">incrementally </w:t>
            </w:r>
            <w:r w:rsidR="00577FB0">
              <w:t xml:space="preserve"> upgrade</w:t>
            </w:r>
            <w:r w:rsidR="00B2104D">
              <w:t>s</w:t>
            </w:r>
            <w:proofErr w:type="gramEnd"/>
            <w:r w:rsidR="008C2253">
              <w:t xml:space="preserve"> videoconference </w:t>
            </w:r>
            <w:r w:rsidR="00577FB0">
              <w:t xml:space="preserve"> equipment at other campuses.</w:t>
            </w:r>
            <w:r w:rsidR="00884CFA">
              <w:t xml:space="preserve"> </w:t>
            </w:r>
          </w:p>
          <w:p w14:paraId="5388553D" w14:textId="77777777" w:rsidR="00DC4694" w:rsidRDefault="00DC4694" w:rsidP="005D1B93"/>
          <w:p w14:paraId="4F89848E" w14:textId="1ED235E7" w:rsidR="00992CE2" w:rsidRDefault="0019381C" w:rsidP="005D1B93">
            <w:proofErr w:type="spellStart"/>
            <w:r>
              <w:t>Tegrity</w:t>
            </w:r>
            <w:proofErr w:type="spellEnd"/>
            <w:r>
              <w:t xml:space="preserve"> continues to meet the college’s lecture capture needs.  </w:t>
            </w:r>
            <w:r w:rsidR="004E541D">
              <w:t>The college is researching a</w:t>
            </w:r>
            <w:r>
              <w:t xml:space="preserve">ccessibility </w:t>
            </w:r>
            <w:r w:rsidR="004E541D">
              <w:t xml:space="preserve">services and </w:t>
            </w:r>
            <w:r>
              <w:t>resources</w:t>
            </w:r>
            <w:r w:rsidR="00CC7FA5">
              <w:t xml:space="preserve"> that are </w:t>
            </w:r>
            <w:r>
              <w:t xml:space="preserve">compatible with </w:t>
            </w:r>
            <w:proofErr w:type="spellStart"/>
            <w:r>
              <w:t>Tegrity</w:t>
            </w:r>
            <w:proofErr w:type="spellEnd"/>
            <w:r>
              <w:t>.</w:t>
            </w:r>
            <w:r w:rsidR="002C31F7">
              <w:t xml:space="preserve">  The possibility of using </w:t>
            </w:r>
            <w:r w:rsidR="00EB13D6">
              <w:t xml:space="preserve">streaming video tools available through the college’s Office 365 </w:t>
            </w:r>
            <w:r w:rsidR="0032591C">
              <w:t>agreement is also being considered.</w:t>
            </w:r>
          </w:p>
        </w:tc>
      </w:tr>
      <w:tr w:rsidR="001F6D86" w14:paraId="4EBDEEB8" w14:textId="77777777" w:rsidTr="000B4722">
        <w:trPr>
          <w:trHeight w:val="54"/>
        </w:trPr>
        <w:tc>
          <w:tcPr>
            <w:tcW w:w="3183" w:type="dxa"/>
            <w:tcBorders>
              <w:right w:val="single" w:sz="6" w:space="0" w:color="auto"/>
            </w:tcBorders>
          </w:tcPr>
          <w:p w14:paraId="51C2161E" w14:textId="449C38D6" w:rsidR="00264880" w:rsidRDefault="00264880" w:rsidP="00C07AC6">
            <w:pPr>
              <w:rPr>
                <w:b/>
              </w:rPr>
            </w:pPr>
          </w:p>
          <w:p w14:paraId="1430F0C9" w14:textId="632306A0" w:rsidR="00F7403C" w:rsidRPr="008770F5" w:rsidRDefault="00C07AC6" w:rsidP="00C07AC6">
            <w:pPr>
              <w:rPr>
                <w:b/>
              </w:rPr>
            </w:pPr>
            <w:r w:rsidRPr="008770F5">
              <w:rPr>
                <w:b/>
              </w:rPr>
              <w:t xml:space="preserve">Goal </w:t>
            </w:r>
            <w:r>
              <w:rPr>
                <w:b/>
              </w:rPr>
              <w:t>1</w:t>
            </w:r>
            <w:r w:rsidR="00645E94">
              <w:rPr>
                <w:b/>
              </w:rPr>
              <w:t>3</w:t>
            </w:r>
            <w:r w:rsidRPr="008770F5">
              <w:rPr>
                <w:b/>
              </w:rPr>
              <w:t xml:space="preserve">:   </w:t>
            </w:r>
            <w:r w:rsidR="003E067B">
              <w:t>Explore the need for LMS Upgrade.</w:t>
            </w:r>
          </w:p>
          <w:p w14:paraId="51F5636F" w14:textId="77777777" w:rsidR="001F6D86" w:rsidRDefault="001F6D86" w:rsidP="001F6D86"/>
          <w:p w14:paraId="4C4F8D46" w14:textId="77777777" w:rsidR="005E0887" w:rsidRPr="00264880" w:rsidRDefault="005E0887" w:rsidP="00264880">
            <w:pPr>
              <w:rPr>
                <w:u w:val="single"/>
              </w:rPr>
            </w:pPr>
            <w:r w:rsidRPr="00264880">
              <w:rPr>
                <w:u w:val="single"/>
              </w:rPr>
              <w:t>Objectives</w:t>
            </w:r>
          </w:p>
          <w:p w14:paraId="22EB99A3" w14:textId="77777777" w:rsidR="005E0887" w:rsidRDefault="005E0887" w:rsidP="005E0887">
            <w:pPr>
              <w:pStyle w:val="ListParagraph"/>
              <w:numPr>
                <w:ilvl w:val="0"/>
                <w:numId w:val="46"/>
              </w:numPr>
            </w:pPr>
            <w:r>
              <w:t>Determine benefits associated with upgrading to a SaaS LMS model.</w:t>
            </w:r>
          </w:p>
          <w:p w14:paraId="4371C893" w14:textId="77777777" w:rsidR="005E0887" w:rsidRDefault="005E0887" w:rsidP="005E0887">
            <w:pPr>
              <w:pStyle w:val="ListParagraph"/>
              <w:numPr>
                <w:ilvl w:val="0"/>
                <w:numId w:val="46"/>
              </w:numPr>
            </w:pPr>
            <w:r>
              <w:t>Determine additional costs associated with such an upgrade.</w:t>
            </w:r>
          </w:p>
          <w:p w14:paraId="7F287861" w14:textId="2E0C7447" w:rsidR="005E0887" w:rsidRDefault="005E0887" w:rsidP="005E0887">
            <w:pPr>
              <w:pStyle w:val="ListParagraph"/>
              <w:numPr>
                <w:ilvl w:val="0"/>
                <w:numId w:val="46"/>
              </w:numPr>
            </w:pPr>
            <w:r>
              <w:lastRenderedPageBreak/>
              <w:t xml:space="preserve">Compare benefits of Canvas, Blackboard </w:t>
            </w:r>
            <w:r w:rsidR="00162C2C">
              <w:t>Learn/</w:t>
            </w:r>
            <w:r>
              <w:t>Ultra and other LMS options.</w:t>
            </w:r>
          </w:p>
          <w:p w14:paraId="4E9F1E4B" w14:textId="77777777" w:rsidR="005E0887" w:rsidRDefault="005E0887" w:rsidP="005E0887">
            <w:pPr>
              <w:pStyle w:val="ListParagraph"/>
              <w:numPr>
                <w:ilvl w:val="0"/>
                <w:numId w:val="46"/>
              </w:numPr>
            </w:pPr>
            <w:r>
              <w:t>Determine faculty interest in an LMS upgrade.</w:t>
            </w:r>
          </w:p>
          <w:p w14:paraId="3623F9AB" w14:textId="3B98049A" w:rsidR="001F6D86" w:rsidRDefault="001F6D86" w:rsidP="001F6D86"/>
        </w:tc>
        <w:tc>
          <w:tcPr>
            <w:tcW w:w="3302" w:type="dxa"/>
            <w:tcBorders>
              <w:left w:val="single" w:sz="6" w:space="0" w:color="auto"/>
              <w:right w:val="single" w:sz="4" w:space="0" w:color="auto"/>
            </w:tcBorders>
          </w:tcPr>
          <w:p w14:paraId="6CE1B765" w14:textId="77777777" w:rsidR="00503D88" w:rsidRDefault="00503D88" w:rsidP="00292BE5"/>
          <w:p w14:paraId="1D2DF209" w14:textId="40C122B7" w:rsidR="00264880" w:rsidRDefault="00DE5ADA" w:rsidP="00292BE5">
            <w:r>
              <w:t>Jefferson State</w:t>
            </w:r>
            <w:r w:rsidR="008D1E64">
              <w:t xml:space="preserve"> utilizes cloud</w:t>
            </w:r>
            <w:r>
              <w:t>-</w:t>
            </w:r>
            <w:r w:rsidR="008D1E64">
              <w:t xml:space="preserve"> based Lecture capture service, and recently</w:t>
            </w:r>
            <w:r w:rsidR="005964D4">
              <w:t xml:space="preserve"> deployed Microsoft Office 365</w:t>
            </w:r>
            <w:r>
              <w:t xml:space="preserve">.   </w:t>
            </w:r>
            <w:r w:rsidR="007E13D0">
              <w:t xml:space="preserve">Distance Education and Information Technology are exploring the advantages of </w:t>
            </w:r>
            <w:r w:rsidR="00A36F24">
              <w:t xml:space="preserve">migrating from self-hosted </w:t>
            </w:r>
            <w:r>
              <w:t>Blackboard Learn</w:t>
            </w:r>
            <w:r w:rsidR="00A36F24">
              <w:t xml:space="preserve"> to a </w:t>
            </w:r>
            <w:r w:rsidR="0021084B">
              <w:t>cloud-</w:t>
            </w:r>
            <w:r w:rsidR="00A36F24">
              <w:t>hosted</w:t>
            </w:r>
            <w:r w:rsidR="0021084B">
              <w:t xml:space="preserve"> (SaaS)</w:t>
            </w:r>
            <w:r w:rsidR="00A36F24">
              <w:t xml:space="preserve"> </w:t>
            </w:r>
            <w:r w:rsidR="00771923">
              <w:t>learning management system</w:t>
            </w:r>
            <w:r w:rsidR="00AD7B8E">
              <w:t>.</w:t>
            </w:r>
          </w:p>
        </w:tc>
        <w:tc>
          <w:tcPr>
            <w:tcW w:w="3203" w:type="dxa"/>
            <w:tcBorders>
              <w:left w:val="single" w:sz="4" w:space="0" w:color="auto"/>
              <w:right w:val="single" w:sz="6" w:space="0" w:color="auto"/>
            </w:tcBorders>
          </w:tcPr>
          <w:p w14:paraId="4EA64A3A" w14:textId="77777777" w:rsidR="00845359" w:rsidRDefault="00845359" w:rsidP="002E685C"/>
          <w:p w14:paraId="06AAFFBE" w14:textId="6C357C5D" w:rsidR="00771923" w:rsidRPr="00771923" w:rsidRDefault="00845359" w:rsidP="002E685C">
            <w:pPr>
              <w:rPr>
                <w:color w:val="FF0000"/>
              </w:rPr>
            </w:pPr>
            <w:r>
              <w:t>After research</w:t>
            </w:r>
            <w:r w:rsidR="00C84CEE">
              <w:t>ing</w:t>
            </w:r>
            <w:r w:rsidR="00B91350">
              <w:t xml:space="preserve"> the benefits</w:t>
            </w:r>
            <w:r w:rsidR="00C84CEE">
              <w:t xml:space="preserve"> and</w:t>
            </w:r>
            <w:r w:rsidR="00B91350">
              <w:t xml:space="preserve"> additional costs associated with a cloud hosted learning management system</w:t>
            </w:r>
            <w:r w:rsidR="00FA56D9">
              <w:t>, rationale for migrating to c</w:t>
            </w:r>
            <w:r w:rsidR="00C84CEE">
              <w:t>loud</w:t>
            </w:r>
            <w:r w:rsidR="00B20AF7">
              <w:t>-</w:t>
            </w:r>
            <w:r w:rsidR="00722369">
              <w:t>hosted</w:t>
            </w:r>
            <w:r w:rsidR="00B20AF7">
              <w:t xml:space="preserve"> </w:t>
            </w:r>
            <w:r w:rsidR="00722369">
              <w:t xml:space="preserve">  Canvas </w:t>
            </w:r>
            <w:r w:rsidR="00FA56D9">
              <w:t>or cl</w:t>
            </w:r>
            <w:r w:rsidR="00B20AF7">
              <w:t>oud hosted</w:t>
            </w:r>
            <w:r w:rsidR="00722369">
              <w:t xml:space="preserve"> Blackboard Learn were </w:t>
            </w:r>
            <w:r w:rsidR="00B20AF7">
              <w:t>presented</w:t>
            </w:r>
            <w:r w:rsidR="00722369">
              <w:t xml:space="preserve">.  </w:t>
            </w:r>
            <w:r w:rsidR="00354651">
              <w:t xml:space="preserve"> </w:t>
            </w:r>
            <w:r w:rsidR="00F55E0F">
              <w:t xml:space="preserve">Ultimately, migration from self-hosted Blackboard Learn to </w:t>
            </w:r>
            <w:r w:rsidR="00056EAD">
              <w:t>Blackboard Learn SaaS was approved</w:t>
            </w:r>
            <w:r w:rsidR="00010273">
              <w:t>.</w:t>
            </w:r>
            <w:r w:rsidR="00056EAD">
              <w:t xml:space="preserve">  </w:t>
            </w:r>
            <w:r w:rsidR="00AD7E81">
              <w:t xml:space="preserve">The </w:t>
            </w:r>
            <w:r w:rsidR="00AD7E81">
              <w:lastRenderedPageBreak/>
              <w:t>college negotiated an agreement</w:t>
            </w:r>
            <w:r w:rsidR="00810A50">
              <w:t xml:space="preserve"> beginning October 2017 </w:t>
            </w:r>
            <w:r w:rsidR="001F2C5F">
              <w:t xml:space="preserve">that will make </w:t>
            </w:r>
            <w:r w:rsidR="00810A50">
              <w:t>Blackboard Learn</w:t>
            </w:r>
            <w:r w:rsidR="001F2C5F">
              <w:t xml:space="preserve"> SaaS the</w:t>
            </w:r>
            <w:r w:rsidR="00897B8D">
              <w:t xml:space="preserve"> college’s learning management system, provide direct </w:t>
            </w:r>
            <w:r w:rsidR="00FD209B">
              <w:t xml:space="preserve">data </w:t>
            </w:r>
            <w:r w:rsidR="00897B8D">
              <w:t>access</w:t>
            </w:r>
            <w:r w:rsidR="005D55C0">
              <w:t>, and increase</w:t>
            </w:r>
            <w:r w:rsidR="00FD209B">
              <w:t xml:space="preserve"> content</w:t>
            </w:r>
            <w:r w:rsidR="005D55C0">
              <w:t xml:space="preserve"> accessibility through ALL</w:t>
            </w:r>
            <w:r w:rsidR="00FD209B">
              <w:t>Y.</w:t>
            </w:r>
            <w:r w:rsidR="00AC52BD">
              <w:t xml:space="preserve"> </w:t>
            </w:r>
            <w:r w:rsidR="00722369">
              <w:t xml:space="preserve"> </w:t>
            </w:r>
            <w:r w:rsidR="00771923">
              <w:t xml:space="preserve"> </w:t>
            </w:r>
            <w:r w:rsidR="00A913F1">
              <w:t>Annual l</w:t>
            </w:r>
            <w:r w:rsidR="00D21FA6">
              <w:t>icense cost will increase from</w:t>
            </w:r>
            <w:r w:rsidR="007A255D">
              <w:t xml:space="preserve"> </w:t>
            </w:r>
            <w:r w:rsidR="007A255D" w:rsidRPr="00C97DBA">
              <w:t>$5</w:t>
            </w:r>
            <w:r w:rsidR="007A255D">
              <w:t>3</w:t>
            </w:r>
            <w:r w:rsidR="007A255D" w:rsidRPr="00C97DBA">
              <w:t>,</w:t>
            </w:r>
            <w:r w:rsidR="007A255D">
              <w:t>068</w:t>
            </w:r>
            <w:r w:rsidR="007A255D" w:rsidRPr="00C97DBA">
              <w:t>.</w:t>
            </w:r>
            <w:r w:rsidR="007A255D">
              <w:t xml:space="preserve">85 (August 2016) to </w:t>
            </w:r>
            <w:r w:rsidR="00A913F1" w:rsidRPr="00C97DBA">
              <w:t>$</w:t>
            </w:r>
            <w:r w:rsidR="00A913F1">
              <w:t xml:space="preserve">129,722.29 (October 2017).  Associated benefits include decreased service interruptions, </w:t>
            </w:r>
            <w:r w:rsidR="00C17544">
              <w:t xml:space="preserve">enhanced mobile device capability, continuous delivery of updates, </w:t>
            </w:r>
            <w:r w:rsidR="00315289">
              <w:t>decreased load on Jefferson State’s IT resources</w:t>
            </w:r>
            <w:r w:rsidR="00B07C3A">
              <w:t xml:space="preserve">, enhanced accessibility, and the possibility of future implementation of </w:t>
            </w:r>
            <w:r w:rsidR="00315289">
              <w:t>Blackboard Ultra</w:t>
            </w:r>
            <w:r w:rsidR="00C17544">
              <w:t>.</w:t>
            </w:r>
            <w:r w:rsidR="00A913F1">
              <w:t xml:space="preserve"> </w:t>
            </w:r>
          </w:p>
        </w:tc>
        <w:tc>
          <w:tcPr>
            <w:tcW w:w="3256" w:type="dxa"/>
            <w:tcBorders>
              <w:left w:val="single" w:sz="6" w:space="0" w:color="auto"/>
            </w:tcBorders>
          </w:tcPr>
          <w:p w14:paraId="3D4C9E37" w14:textId="77777777" w:rsidR="00183E83" w:rsidRDefault="00183E83" w:rsidP="00992CE2"/>
          <w:p w14:paraId="6921BF8A" w14:textId="32D9B97A" w:rsidR="001F6D86" w:rsidRDefault="00183E83" w:rsidP="009A0DC6">
            <w:r>
              <w:t xml:space="preserve">Distance Education and IT will work with Blackboard to insure migration of the college’s self-hosted </w:t>
            </w:r>
            <w:r w:rsidR="00992CE2">
              <w:t>Blackboard</w:t>
            </w:r>
            <w:r>
              <w:t xml:space="preserve"> data to the Blackboard cloud</w:t>
            </w:r>
            <w:r w:rsidR="00F8046B">
              <w:t xml:space="preserve"> during the fall 2017 semester.   Final migration is planned </w:t>
            </w:r>
            <w:r w:rsidR="00350582">
              <w:t>for December 2017, between fall and spring semesters</w:t>
            </w:r>
            <w:r w:rsidR="005311E5">
              <w:t xml:space="preserve">.  </w:t>
            </w:r>
            <w:r w:rsidR="00025149">
              <w:t>T</w:t>
            </w:r>
            <w:r w:rsidR="005311E5">
              <w:t xml:space="preserve">he college </w:t>
            </w:r>
            <w:r w:rsidR="00025149">
              <w:t>plans to</w:t>
            </w:r>
            <w:r w:rsidR="009A0DC6">
              <w:t xml:space="preserve"> launch Blackboard Learn SaaS for use in all spring 2018 courses.  </w:t>
            </w:r>
            <w:r w:rsidR="009A0DC6">
              <w:lastRenderedPageBreak/>
              <w:t xml:space="preserve">Valerie McCombs will </w:t>
            </w:r>
            <w:r w:rsidR="002F7C65">
              <w:t>provide fall 201</w:t>
            </w:r>
            <w:r w:rsidR="0013516D">
              <w:t>7</w:t>
            </w:r>
            <w:r w:rsidR="002F7C65">
              <w:t xml:space="preserve"> training to faculty</w:t>
            </w:r>
            <w:r w:rsidR="00022AFF">
              <w:t xml:space="preserve"> in advance of Blackboard Learn SaaS launch.</w:t>
            </w:r>
          </w:p>
        </w:tc>
      </w:tr>
    </w:tbl>
    <w:p w14:paraId="5C2C301F" w14:textId="50283630" w:rsidR="00AA64EB" w:rsidRDefault="00AA64EB" w:rsidP="00645E94">
      <w:pPr>
        <w:rPr>
          <w:sz w:val="28"/>
          <w:szCs w:val="28"/>
          <w:u w:val="single"/>
        </w:rPr>
      </w:pPr>
    </w:p>
    <w:sectPr w:rsidR="00AA64EB" w:rsidSect="00C0081E">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5BE50" w14:textId="77777777" w:rsidR="000858AE" w:rsidRDefault="000858AE" w:rsidP="0016386B">
      <w:pPr>
        <w:spacing w:after="0" w:line="240" w:lineRule="auto"/>
      </w:pPr>
      <w:r>
        <w:separator/>
      </w:r>
    </w:p>
  </w:endnote>
  <w:endnote w:type="continuationSeparator" w:id="0">
    <w:p w14:paraId="6D0A3B84" w14:textId="77777777" w:rsidR="000858AE" w:rsidRDefault="000858AE" w:rsidP="0016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9223" w14:textId="323D33CB" w:rsidR="00F7403C" w:rsidRDefault="00F7403C">
    <w:pPr>
      <w:pStyle w:val="Footer"/>
    </w:pPr>
    <w:r>
      <w:ptab w:relativeTo="margin" w:alignment="right" w:leader="none"/>
    </w:r>
    <w:r>
      <w:t>Distance Education 201</w:t>
    </w:r>
    <w:r w:rsidR="00BA547B">
      <w:t>6</w:t>
    </w:r>
    <w:r>
      <w:t>-1</w:t>
    </w:r>
    <w:r w:rsidR="00BA547B">
      <w:t>7</w:t>
    </w:r>
    <w:r>
      <w:t xml:space="preserve"> Goals Progress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AB5AC" w14:textId="77777777" w:rsidR="000858AE" w:rsidRDefault="000858AE" w:rsidP="0016386B">
      <w:pPr>
        <w:spacing w:after="0" w:line="240" w:lineRule="auto"/>
      </w:pPr>
      <w:r>
        <w:separator/>
      </w:r>
    </w:p>
  </w:footnote>
  <w:footnote w:type="continuationSeparator" w:id="0">
    <w:p w14:paraId="74DDD0AB" w14:textId="77777777" w:rsidR="000858AE" w:rsidRDefault="000858AE" w:rsidP="00163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19C"/>
    <w:multiLevelType w:val="hybridMultilevel"/>
    <w:tmpl w:val="0FF8EE18"/>
    <w:lvl w:ilvl="0" w:tplc="746AAAB2">
      <w:start w:val="1"/>
      <w:numFmt w:val="lowerLetter"/>
      <w:lvlText w:val="%1."/>
      <w:lvlJc w:val="lef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931366"/>
    <w:multiLevelType w:val="hybridMultilevel"/>
    <w:tmpl w:val="55CE442A"/>
    <w:lvl w:ilvl="0" w:tplc="7E1EEAF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A0A0F"/>
    <w:multiLevelType w:val="hybridMultilevel"/>
    <w:tmpl w:val="984403DA"/>
    <w:lvl w:ilvl="0" w:tplc="F05C9F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367E1"/>
    <w:multiLevelType w:val="hybridMultilevel"/>
    <w:tmpl w:val="6B1CA2FC"/>
    <w:lvl w:ilvl="0" w:tplc="356CF92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C6C13"/>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6F20BE"/>
    <w:multiLevelType w:val="hybridMultilevel"/>
    <w:tmpl w:val="D3E0E1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D60745"/>
    <w:multiLevelType w:val="hybridMultilevel"/>
    <w:tmpl w:val="FFC82B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CC4B96"/>
    <w:multiLevelType w:val="hybridMultilevel"/>
    <w:tmpl w:val="0A547602"/>
    <w:lvl w:ilvl="0" w:tplc="95DC88CE">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204D02"/>
    <w:multiLevelType w:val="hybridMultilevel"/>
    <w:tmpl w:val="327AC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D5749B"/>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12295"/>
    <w:multiLevelType w:val="hybridMultilevel"/>
    <w:tmpl w:val="8B52615E"/>
    <w:lvl w:ilvl="0" w:tplc="81BC8B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FC20F1"/>
    <w:multiLevelType w:val="hybridMultilevel"/>
    <w:tmpl w:val="6B121310"/>
    <w:lvl w:ilvl="0" w:tplc="F05C9FB6">
      <w:start w:val="1"/>
      <w:numFmt w:val="decimal"/>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514109"/>
    <w:multiLevelType w:val="hybridMultilevel"/>
    <w:tmpl w:val="65143304"/>
    <w:lvl w:ilvl="0" w:tplc="1994C97C">
      <w:start w:val="2"/>
      <w:numFmt w:val="decimal"/>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66EF7"/>
    <w:multiLevelType w:val="hybridMultilevel"/>
    <w:tmpl w:val="1C3CABF4"/>
    <w:lvl w:ilvl="0" w:tplc="D9A2D6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716EDF"/>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8E1F26"/>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437161"/>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F60C32"/>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156A3E"/>
    <w:multiLevelType w:val="hybridMultilevel"/>
    <w:tmpl w:val="4F8ACE52"/>
    <w:lvl w:ilvl="0" w:tplc="3B8254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0B1432"/>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3C3B3D"/>
    <w:multiLevelType w:val="hybridMultilevel"/>
    <w:tmpl w:val="984403DA"/>
    <w:lvl w:ilvl="0" w:tplc="F05C9F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674CF1"/>
    <w:multiLevelType w:val="hybridMultilevel"/>
    <w:tmpl w:val="BE1E3064"/>
    <w:lvl w:ilvl="0" w:tplc="37DC75D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CE1377"/>
    <w:multiLevelType w:val="hybridMultilevel"/>
    <w:tmpl w:val="7A46680A"/>
    <w:lvl w:ilvl="0" w:tplc="37DC75D0">
      <w:start w:val="1"/>
      <w:numFmt w:val="decimal"/>
      <w:lvlText w:val="%1."/>
      <w:lvlJc w:val="left"/>
      <w:pPr>
        <w:ind w:left="360" w:hanging="360"/>
      </w:pPr>
      <w:rPr>
        <w:rFonts w:asciiTheme="minorHAnsi" w:eastAsiaTheme="minorHAnsi" w:hAnsiTheme="minorHAnsi" w:cstheme="minorBidi"/>
      </w:rPr>
    </w:lvl>
    <w:lvl w:ilvl="1" w:tplc="CE5E6CF8">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55374A"/>
    <w:multiLevelType w:val="hybridMultilevel"/>
    <w:tmpl w:val="2B6648DA"/>
    <w:lvl w:ilvl="0" w:tplc="37DC75D0">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261F20"/>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100DE5"/>
    <w:multiLevelType w:val="hybridMultilevel"/>
    <w:tmpl w:val="4A448B52"/>
    <w:lvl w:ilvl="0" w:tplc="81BC8B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1C3305"/>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A7430DD"/>
    <w:multiLevelType w:val="hybridMultilevel"/>
    <w:tmpl w:val="8F380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ED2AB4"/>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533D2D"/>
    <w:multiLevelType w:val="hybridMultilevel"/>
    <w:tmpl w:val="DDEC55D0"/>
    <w:lvl w:ilvl="0" w:tplc="EC367E84">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7042952"/>
    <w:multiLevelType w:val="hybridMultilevel"/>
    <w:tmpl w:val="C3F08822"/>
    <w:lvl w:ilvl="0" w:tplc="2DEADA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62507A"/>
    <w:multiLevelType w:val="hybridMultilevel"/>
    <w:tmpl w:val="0A547602"/>
    <w:lvl w:ilvl="0" w:tplc="95DC88CE">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A864A26"/>
    <w:multiLevelType w:val="hybridMultilevel"/>
    <w:tmpl w:val="DDEC55D0"/>
    <w:lvl w:ilvl="0" w:tplc="EC367E84">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4AF67A6D"/>
    <w:multiLevelType w:val="hybridMultilevel"/>
    <w:tmpl w:val="1ED4EC46"/>
    <w:lvl w:ilvl="0" w:tplc="81BC8B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014655A"/>
    <w:multiLevelType w:val="hybridMultilevel"/>
    <w:tmpl w:val="0106A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41D2C2D"/>
    <w:multiLevelType w:val="hybridMultilevel"/>
    <w:tmpl w:val="BE1E3064"/>
    <w:lvl w:ilvl="0" w:tplc="37DC75D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DC634A"/>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BC734E2"/>
    <w:multiLevelType w:val="hybridMultilevel"/>
    <w:tmpl w:val="354E621C"/>
    <w:lvl w:ilvl="0" w:tplc="81BC8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3828B6"/>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EC3276F"/>
    <w:multiLevelType w:val="hybridMultilevel"/>
    <w:tmpl w:val="FE327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705F82"/>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FE5295"/>
    <w:multiLevelType w:val="hybridMultilevel"/>
    <w:tmpl w:val="A808C95C"/>
    <w:lvl w:ilvl="0" w:tplc="37DC75D0">
      <w:start w:val="1"/>
      <w:numFmt w:val="decimal"/>
      <w:lvlText w:val="%1."/>
      <w:lvlJc w:val="left"/>
      <w:pPr>
        <w:ind w:left="1080" w:hanging="360"/>
      </w:pPr>
      <w:rPr>
        <w:rFonts w:asciiTheme="minorHAnsi" w:eastAsiaTheme="minorHAnsi" w:hAnsiTheme="minorHAnsi" w:cstheme="minorBidi"/>
      </w:rPr>
    </w:lvl>
    <w:lvl w:ilvl="1" w:tplc="A39E5DF2">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0B4D64"/>
    <w:multiLevelType w:val="hybridMultilevel"/>
    <w:tmpl w:val="8B52615E"/>
    <w:lvl w:ilvl="0" w:tplc="81BC8BB0">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3" w15:restartNumberingAfterBreak="0">
    <w:nsid w:val="6ECC49ED"/>
    <w:multiLevelType w:val="hybridMultilevel"/>
    <w:tmpl w:val="53E85A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2A25BF"/>
    <w:multiLevelType w:val="hybridMultilevel"/>
    <w:tmpl w:val="AE00B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962353"/>
    <w:multiLevelType w:val="hybridMultilevel"/>
    <w:tmpl w:val="DDFCC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B13E9B"/>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BF9466E"/>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FF35CEC"/>
    <w:multiLevelType w:val="hybridMultilevel"/>
    <w:tmpl w:val="7458C90A"/>
    <w:lvl w:ilvl="0" w:tplc="37DC75D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3"/>
  </w:num>
  <w:num w:numId="3">
    <w:abstractNumId w:val="48"/>
  </w:num>
  <w:num w:numId="4">
    <w:abstractNumId w:val="5"/>
  </w:num>
  <w:num w:numId="5">
    <w:abstractNumId w:val="33"/>
  </w:num>
  <w:num w:numId="6">
    <w:abstractNumId w:val="20"/>
  </w:num>
  <w:num w:numId="7">
    <w:abstractNumId w:val="23"/>
  </w:num>
  <w:num w:numId="8">
    <w:abstractNumId w:val="6"/>
  </w:num>
  <w:num w:numId="9">
    <w:abstractNumId w:val="11"/>
  </w:num>
  <w:num w:numId="10">
    <w:abstractNumId w:val="2"/>
  </w:num>
  <w:num w:numId="11">
    <w:abstractNumId w:val="25"/>
  </w:num>
  <w:num w:numId="12">
    <w:abstractNumId w:val="21"/>
  </w:num>
  <w:num w:numId="13">
    <w:abstractNumId w:val="42"/>
  </w:num>
  <w:num w:numId="14">
    <w:abstractNumId w:val="18"/>
  </w:num>
  <w:num w:numId="15">
    <w:abstractNumId w:val="41"/>
  </w:num>
  <w:num w:numId="16">
    <w:abstractNumId w:val="39"/>
  </w:num>
  <w:num w:numId="17">
    <w:abstractNumId w:val="1"/>
  </w:num>
  <w:num w:numId="18">
    <w:abstractNumId w:val="32"/>
  </w:num>
  <w:num w:numId="19">
    <w:abstractNumId w:val="29"/>
  </w:num>
  <w:num w:numId="20">
    <w:abstractNumId w:val="37"/>
  </w:num>
  <w:num w:numId="21">
    <w:abstractNumId w:val="4"/>
  </w:num>
  <w:num w:numId="22">
    <w:abstractNumId w:val="12"/>
  </w:num>
  <w:num w:numId="23">
    <w:abstractNumId w:val="47"/>
  </w:num>
  <w:num w:numId="24">
    <w:abstractNumId w:val="34"/>
  </w:num>
  <w:num w:numId="25">
    <w:abstractNumId w:val="30"/>
  </w:num>
  <w:num w:numId="26">
    <w:abstractNumId w:val="44"/>
  </w:num>
  <w:num w:numId="27">
    <w:abstractNumId w:val="17"/>
  </w:num>
  <w:num w:numId="28">
    <w:abstractNumId w:val="36"/>
  </w:num>
  <w:num w:numId="29">
    <w:abstractNumId w:val="7"/>
  </w:num>
  <w:num w:numId="30">
    <w:abstractNumId w:val="40"/>
  </w:num>
  <w:num w:numId="31">
    <w:abstractNumId w:val="19"/>
  </w:num>
  <w:num w:numId="32">
    <w:abstractNumId w:val="26"/>
  </w:num>
  <w:num w:numId="33">
    <w:abstractNumId w:val="9"/>
  </w:num>
  <w:num w:numId="34">
    <w:abstractNumId w:val="46"/>
  </w:num>
  <w:num w:numId="35">
    <w:abstractNumId w:val="28"/>
  </w:num>
  <w:num w:numId="36">
    <w:abstractNumId w:val="24"/>
  </w:num>
  <w:num w:numId="37">
    <w:abstractNumId w:val="15"/>
  </w:num>
  <w:num w:numId="38">
    <w:abstractNumId w:val="0"/>
  </w:num>
  <w:num w:numId="39">
    <w:abstractNumId w:val="3"/>
  </w:num>
  <w:num w:numId="40">
    <w:abstractNumId w:val="31"/>
  </w:num>
  <w:num w:numId="41">
    <w:abstractNumId w:val="14"/>
  </w:num>
  <w:num w:numId="42">
    <w:abstractNumId w:val="38"/>
  </w:num>
  <w:num w:numId="43">
    <w:abstractNumId w:val="16"/>
  </w:num>
  <w:num w:numId="44">
    <w:abstractNumId w:val="27"/>
  </w:num>
  <w:num w:numId="45">
    <w:abstractNumId w:val="35"/>
  </w:num>
  <w:num w:numId="46">
    <w:abstractNumId w:val="10"/>
  </w:num>
  <w:num w:numId="47">
    <w:abstractNumId w:val="45"/>
  </w:num>
  <w:num w:numId="48">
    <w:abstractNumId w:val="8"/>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57"/>
    <w:rsid w:val="00000794"/>
    <w:rsid w:val="00003E43"/>
    <w:rsid w:val="0000575C"/>
    <w:rsid w:val="00010273"/>
    <w:rsid w:val="00022AFF"/>
    <w:rsid w:val="00025149"/>
    <w:rsid w:val="0003020B"/>
    <w:rsid w:val="00032A7B"/>
    <w:rsid w:val="00040191"/>
    <w:rsid w:val="00046669"/>
    <w:rsid w:val="00050FD3"/>
    <w:rsid w:val="0005638B"/>
    <w:rsid w:val="00056EAD"/>
    <w:rsid w:val="000644CC"/>
    <w:rsid w:val="00064596"/>
    <w:rsid w:val="00076450"/>
    <w:rsid w:val="000820E2"/>
    <w:rsid w:val="000858AE"/>
    <w:rsid w:val="0009175C"/>
    <w:rsid w:val="000A201A"/>
    <w:rsid w:val="000A6797"/>
    <w:rsid w:val="000B2BFF"/>
    <w:rsid w:val="000B4722"/>
    <w:rsid w:val="000C5BFC"/>
    <w:rsid w:val="000D6884"/>
    <w:rsid w:val="000E389F"/>
    <w:rsid w:val="000E48CA"/>
    <w:rsid w:val="000E4DBB"/>
    <w:rsid w:val="000E7D24"/>
    <w:rsid w:val="00112E2A"/>
    <w:rsid w:val="0013516D"/>
    <w:rsid w:val="001360CB"/>
    <w:rsid w:val="001413FC"/>
    <w:rsid w:val="00153E32"/>
    <w:rsid w:val="00162C2C"/>
    <w:rsid w:val="0016386B"/>
    <w:rsid w:val="00163CBA"/>
    <w:rsid w:val="0017239E"/>
    <w:rsid w:val="00174C77"/>
    <w:rsid w:val="00177FD2"/>
    <w:rsid w:val="00183E83"/>
    <w:rsid w:val="001865D4"/>
    <w:rsid w:val="0019381C"/>
    <w:rsid w:val="001A58BB"/>
    <w:rsid w:val="001B0401"/>
    <w:rsid w:val="001B1637"/>
    <w:rsid w:val="001B4610"/>
    <w:rsid w:val="001B64F9"/>
    <w:rsid w:val="001B7948"/>
    <w:rsid w:val="001C226D"/>
    <w:rsid w:val="001D1B64"/>
    <w:rsid w:val="001D479D"/>
    <w:rsid w:val="001D6C69"/>
    <w:rsid w:val="001E5128"/>
    <w:rsid w:val="001F2C5F"/>
    <w:rsid w:val="001F578B"/>
    <w:rsid w:val="001F6D86"/>
    <w:rsid w:val="001F6DAF"/>
    <w:rsid w:val="00205C1D"/>
    <w:rsid w:val="00207A93"/>
    <w:rsid w:val="0021084B"/>
    <w:rsid w:val="002175EB"/>
    <w:rsid w:val="00220991"/>
    <w:rsid w:val="00223348"/>
    <w:rsid w:val="002379A6"/>
    <w:rsid w:val="00246D4A"/>
    <w:rsid w:val="002514AD"/>
    <w:rsid w:val="00257D13"/>
    <w:rsid w:val="00264880"/>
    <w:rsid w:val="00266894"/>
    <w:rsid w:val="00267C8D"/>
    <w:rsid w:val="0027467E"/>
    <w:rsid w:val="00274B0C"/>
    <w:rsid w:val="0027736F"/>
    <w:rsid w:val="0028306B"/>
    <w:rsid w:val="00292BE5"/>
    <w:rsid w:val="00293127"/>
    <w:rsid w:val="002A4E46"/>
    <w:rsid w:val="002B5884"/>
    <w:rsid w:val="002B63D5"/>
    <w:rsid w:val="002B6B56"/>
    <w:rsid w:val="002C31F7"/>
    <w:rsid w:val="002C35E8"/>
    <w:rsid w:val="002C78AE"/>
    <w:rsid w:val="002D50D6"/>
    <w:rsid w:val="002D50F1"/>
    <w:rsid w:val="002E0230"/>
    <w:rsid w:val="002E2FBB"/>
    <w:rsid w:val="002E6215"/>
    <w:rsid w:val="002E685C"/>
    <w:rsid w:val="002F6206"/>
    <w:rsid w:val="002F7C65"/>
    <w:rsid w:val="00300244"/>
    <w:rsid w:val="00313D0E"/>
    <w:rsid w:val="00314C5E"/>
    <w:rsid w:val="00315289"/>
    <w:rsid w:val="0032046B"/>
    <w:rsid w:val="003230A2"/>
    <w:rsid w:val="0032591C"/>
    <w:rsid w:val="00350582"/>
    <w:rsid w:val="0035153A"/>
    <w:rsid w:val="003536F4"/>
    <w:rsid w:val="00354651"/>
    <w:rsid w:val="0037672A"/>
    <w:rsid w:val="00384A1E"/>
    <w:rsid w:val="0038732B"/>
    <w:rsid w:val="0039347E"/>
    <w:rsid w:val="003A309D"/>
    <w:rsid w:val="003A340C"/>
    <w:rsid w:val="003A4599"/>
    <w:rsid w:val="003B127D"/>
    <w:rsid w:val="003B4F4D"/>
    <w:rsid w:val="003B51B2"/>
    <w:rsid w:val="003B5FD5"/>
    <w:rsid w:val="003B7B06"/>
    <w:rsid w:val="003C2D9B"/>
    <w:rsid w:val="003C36CF"/>
    <w:rsid w:val="003D02E2"/>
    <w:rsid w:val="003D1DD8"/>
    <w:rsid w:val="003D50F4"/>
    <w:rsid w:val="003E067B"/>
    <w:rsid w:val="003E2D3E"/>
    <w:rsid w:val="003E6DA7"/>
    <w:rsid w:val="003F5E90"/>
    <w:rsid w:val="00400271"/>
    <w:rsid w:val="00401F5E"/>
    <w:rsid w:val="004135E8"/>
    <w:rsid w:val="00414301"/>
    <w:rsid w:val="004173D5"/>
    <w:rsid w:val="004209DA"/>
    <w:rsid w:val="00424A9C"/>
    <w:rsid w:val="004357B2"/>
    <w:rsid w:val="004419EF"/>
    <w:rsid w:val="0044716C"/>
    <w:rsid w:val="00453E28"/>
    <w:rsid w:val="004723FD"/>
    <w:rsid w:val="004744FA"/>
    <w:rsid w:val="004844E1"/>
    <w:rsid w:val="00486FF6"/>
    <w:rsid w:val="00491DD8"/>
    <w:rsid w:val="00492458"/>
    <w:rsid w:val="00494813"/>
    <w:rsid w:val="00495885"/>
    <w:rsid w:val="004960E5"/>
    <w:rsid w:val="00496D65"/>
    <w:rsid w:val="004977E3"/>
    <w:rsid w:val="004A15EB"/>
    <w:rsid w:val="004A1ECA"/>
    <w:rsid w:val="004A39F7"/>
    <w:rsid w:val="004A776E"/>
    <w:rsid w:val="004B006B"/>
    <w:rsid w:val="004C3960"/>
    <w:rsid w:val="004C7EB5"/>
    <w:rsid w:val="004D27CA"/>
    <w:rsid w:val="004E167F"/>
    <w:rsid w:val="004E4361"/>
    <w:rsid w:val="004E541D"/>
    <w:rsid w:val="00503D88"/>
    <w:rsid w:val="00523765"/>
    <w:rsid w:val="00527D6E"/>
    <w:rsid w:val="005311E5"/>
    <w:rsid w:val="005365E5"/>
    <w:rsid w:val="00553475"/>
    <w:rsid w:val="0056176E"/>
    <w:rsid w:val="00577FB0"/>
    <w:rsid w:val="005907B4"/>
    <w:rsid w:val="00591A9A"/>
    <w:rsid w:val="00593361"/>
    <w:rsid w:val="005964D4"/>
    <w:rsid w:val="00596B46"/>
    <w:rsid w:val="00597DC0"/>
    <w:rsid w:val="005A50F8"/>
    <w:rsid w:val="005B1B92"/>
    <w:rsid w:val="005B2805"/>
    <w:rsid w:val="005D1B93"/>
    <w:rsid w:val="005D2ECA"/>
    <w:rsid w:val="005D55C0"/>
    <w:rsid w:val="005D77A0"/>
    <w:rsid w:val="005E0887"/>
    <w:rsid w:val="005E34F6"/>
    <w:rsid w:val="005E396E"/>
    <w:rsid w:val="006022DA"/>
    <w:rsid w:val="00602C2E"/>
    <w:rsid w:val="006044C4"/>
    <w:rsid w:val="006051C8"/>
    <w:rsid w:val="00606503"/>
    <w:rsid w:val="0061579F"/>
    <w:rsid w:val="0063643F"/>
    <w:rsid w:val="006401C0"/>
    <w:rsid w:val="0064135C"/>
    <w:rsid w:val="00645E94"/>
    <w:rsid w:val="006649E0"/>
    <w:rsid w:val="006870C1"/>
    <w:rsid w:val="006A1E4D"/>
    <w:rsid w:val="006A4793"/>
    <w:rsid w:val="006A55F9"/>
    <w:rsid w:val="006B1D9B"/>
    <w:rsid w:val="006B3E3B"/>
    <w:rsid w:val="006C0809"/>
    <w:rsid w:val="006C1637"/>
    <w:rsid w:val="006C6AD2"/>
    <w:rsid w:val="006D7CEC"/>
    <w:rsid w:val="006F1A3F"/>
    <w:rsid w:val="00702ABA"/>
    <w:rsid w:val="00713996"/>
    <w:rsid w:val="00717782"/>
    <w:rsid w:val="00721A15"/>
    <w:rsid w:val="00721DF4"/>
    <w:rsid w:val="00722369"/>
    <w:rsid w:val="00742CC9"/>
    <w:rsid w:val="00745A4D"/>
    <w:rsid w:val="00746D97"/>
    <w:rsid w:val="007532F3"/>
    <w:rsid w:val="00755623"/>
    <w:rsid w:val="007616A3"/>
    <w:rsid w:val="00762E40"/>
    <w:rsid w:val="00771923"/>
    <w:rsid w:val="00774C41"/>
    <w:rsid w:val="007818EE"/>
    <w:rsid w:val="007856CE"/>
    <w:rsid w:val="00786A63"/>
    <w:rsid w:val="00791D4D"/>
    <w:rsid w:val="007926BA"/>
    <w:rsid w:val="007A0B02"/>
    <w:rsid w:val="007A255D"/>
    <w:rsid w:val="007A7611"/>
    <w:rsid w:val="007B25D9"/>
    <w:rsid w:val="007C00AA"/>
    <w:rsid w:val="007E13D0"/>
    <w:rsid w:val="007E24E6"/>
    <w:rsid w:val="007E4459"/>
    <w:rsid w:val="007E507F"/>
    <w:rsid w:val="007E725D"/>
    <w:rsid w:val="0080348A"/>
    <w:rsid w:val="00803A10"/>
    <w:rsid w:val="00805B29"/>
    <w:rsid w:val="00805E30"/>
    <w:rsid w:val="008105B7"/>
    <w:rsid w:val="00810A50"/>
    <w:rsid w:val="00811514"/>
    <w:rsid w:val="008211BB"/>
    <w:rsid w:val="00845359"/>
    <w:rsid w:val="00854887"/>
    <w:rsid w:val="00867572"/>
    <w:rsid w:val="00877503"/>
    <w:rsid w:val="00883123"/>
    <w:rsid w:val="00884CFA"/>
    <w:rsid w:val="00893656"/>
    <w:rsid w:val="00897B8D"/>
    <w:rsid w:val="008B27CE"/>
    <w:rsid w:val="008C2253"/>
    <w:rsid w:val="008C4634"/>
    <w:rsid w:val="008C57EF"/>
    <w:rsid w:val="008D1E64"/>
    <w:rsid w:val="008E51FB"/>
    <w:rsid w:val="008E6E88"/>
    <w:rsid w:val="00904197"/>
    <w:rsid w:val="009100B6"/>
    <w:rsid w:val="00915AA0"/>
    <w:rsid w:val="00917685"/>
    <w:rsid w:val="00920A97"/>
    <w:rsid w:val="009215AB"/>
    <w:rsid w:val="009614B1"/>
    <w:rsid w:val="00962E2F"/>
    <w:rsid w:val="00973B73"/>
    <w:rsid w:val="00976B37"/>
    <w:rsid w:val="009852BA"/>
    <w:rsid w:val="00992CE2"/>
    <w:rsid w:val="00995F6F"/>
    <w:rsid w:val="009A0A30"/>
    <w:rsid w:val="009A0DC6"/>
    <w:rsid w:val="009A6C08"/>
    <w:rsid w:val="009C1322"/>
    <w:rsid w:val="009C1F57"/>
    <w:rsid w:val="009C7D82"/>
    <w:rsid w:val="009E5FD3"/>
    <w:rsid w:val="00A02266"/>
    <w:rsid w:val="00A05DE7"/>
    <w:rsid w:val="00A11F73"/>
    <w:rsid w:val="00A13BED"/>
    <w:rsid w:val="00A2030F"/>
    <w:rsid w:val="00A2572A"/>
    <w:rsid w:val="00A31908"/>
    <w:rsid w:val="00A33219"/>
    <w:rsid w:val="00A36F24"/>
    <w:rsid w:val="00A37818"/>
    <w:rsid w:val="00A428B7"/>
    <w:rsid w:val="00A57413"/>
    <w:rsid w:val="00A64BEB"/>
    <w:rsid w:val="00A653AE"/>
    <w:rsid w:val="00A72B2D"/>
    <w:rsid w:val="00A7330B"/>
    <w:rsid w:val="00A834DB"/>
    <w:rsid w:val="00A913F1"/>
    <w:rsid w:val="00A94887"/>
    <w:rsid w:val="00A957C4"/>
    <w:rsid w:val="00AA2B1B"/>
    <w:rsid w:val="00AA2F06"/>
    <w:rsid w:val="00AA64EB"/>
    <w:rsid w:val="00AB4680"/>
    <w:rsid w:val="00AB635D"/>
    <w:rsid w:val="00AC52BD"/>
    <w:rsid w:val="00AC70F0"/>
    <w:rsid w:val="00AC7747"/>
    <w:rsid w:val="00AD6B78"/>
    <w:rsid w:val="00AD7B8E"/>
    <w:rsid w:val="00AD7E81"/>
    <w:rsid w:val="00AF26A7"/>
    <w:rsid w:val="00AF4792"/>
    <w:rsid w:val="00AF5217"/>
    <w:rsid w:val="00AF5C92"/>
    <w:rsid w:val="00B07C3A"/>
    <w:rsid w:val="00B17EF3"/>
    <w:rsid w:val="00B20AF7"/>
    <w:rsid w:val="00B2104D"/>
    <w:rsid w:val="00B229D6"/>
    <w:rsid w:val="00B23C9F"/>
    <w:rsid w:val="00B24359"/>
    <w:rsid w:val="00B34941"/>
    <w:rsid w:val="00B35CEA"/>
    <w:rsid w:val="00B41A53"/>
    <w:rsid w:val="00B4389A"/>
    <w:rsid w:val="00B43A11"/>
    <w:rsid w:val="00B44010"/>
    <w:rsid w:val="00B44F16"/>
    <w:rsid w:val="00B55557"/>
    <w:rsid w:val="00B562CC"/>
    <w:rsid w:val="00B603CD"/>
    <w:rsid w:val="00B60BE1"/>
    <w:rsid w:val="00B7409F"/>
    <w:rsid w:val="00B82F12"/>
    <w:rsid w:val="00B83B91"/>
    <w:rsid w:val="00B850FE"/>
    <w:rsid w:val="00B91350"/>
    <w:rsid w:val="00BA076C"/>
    <w:rsid w:val="00BA1D96"/>
    <w:rsid w:val="00BA4492"/>
    <w:rsid w:val="00BA547B"/>
    <w:rsid w:val="00BA5737"/>
    <w:rsid w:val="00BB027C"/>
    <w:rsid w:val="00BB04F5"/>
    <w:rsid w:val="00BB0671"/>
    <w:rsid w:val="00BB1C7E"/>
    <w:rsid w:val="00BB5D7A"/>
    <w:rsid w:val="00BC13EB"/>
    <w:rsid w:val="00BC2DBE"/>
    <w:rsid w:val="00BC3D39"/>
    <w:rsid w:val="00BE3261"/>
    <w:rsid w:val="00BE4DEC"/>
    <w:rsid w:val="00BE7CC0"/>
    <w:rsid w:val="00BF0923"/>
    <w:rsid w:val="00BF1012"/>
    <w:rsid w:val="00BF23B5"/>
    <w:rsid w:val="00BF27EC"/>
    <w:rsid w:val="00BF4081"/>
    <w:rsid w:val="00BF46DE"/>
    <w:rsid w:val="00BF570E"/>
    <w:rsid w:val="00C0081E"/>
    <w:rsid w:val="00C02FF8"/>
    <w:rsid w:val="00C0736D"/>
    <w:rsid w:val="00C07AC6"/>
    <w:rsid w:val="00C11A4F"/>
    <w:rsid w:val="00C12728"/>
    <w:rsid w:val="00C17544"/>
    <w:rsid w:val="00C3079D"/>
    <w:rsid w:val="00C32DD4"/>
    <w:rsid w:val="00C401B2"/>
    <w:rsid w:val="00C439B5"/>
    <w:rsid w:val="00C46EF3"/>
    <w:rsid w:val="00C56F09"/>
    <w:rsid w:val="00C62EFB"/>
    <w:rsid w:val="00C62F85"/>
    <w:rsid w:val="00C64BDB"/>
    <w:rsid w:val="00C651A2"/>
    <w:rsid w:val="00C757D8"/>
    <w:rsid w:val="00C83391"/>
    <w:rsid w:val="00C84CEE"/>
    <w:rsid w:val="00C87EFC"/>
    <w:rsid w:val="00C9012A"/>
    <w:rsid w:val="00C95857"/>
    <w:rsid w:val="00C97BEA"/>
    <w:rsid w:val="00CA4043"/>
    <w:rsid w:val="00CB6472"/>
    <w:rsid w:val="00CC123B"/>
    <w:rsid w:val="00CC5187"/>
    <w:rsid w:val="00CC7FA5"/>
    <w:rsid w:val="00CD1CD8"/>
    <w:rsid w:val="00CD48C9"/>
    <w:rsid w:val="00CE3C05"/>
    <w:rsid w:val="00CF0C95"/>
    <w:rsid w:val="00CF16F7"/>
    <w:rsid w:val="00CF453D"/>
    <w:rsid w:val="00D0450C"/>
    <w:rsid w:val="00D17C32"/>
    <w:rsid w:val="00D21FA6"/>
    <w:rsid w:val="00D30790"/>
    <w:rsid w:val="00D3279F"/>
    <w:rsid w:val="00D349F4"/>
    <w:rsid w:val="00D358A5"/>
    <w:rsid w:val="00D36F26"/>
    <w:rsid w:val="00D435E1"/>
    <w:rsid w:val="00D45010"/>
    <w:rsid w:val="00D5192A"/>
    <w:rsid w:val="00D54A3C"/>
    <w:rsid w:val="00D57DF7"/>
    <w:rsid w:val="00D57E54"/>
    <w:rsid w:val="00D74AFB"/>
    <w:rsid w:val="00D74EE4"/>
    <w:rsid w:val="00D81952"/>
    <w:rsid w:val="00D939FC"/>
    <w:rsid w:val="00D941A6"/>
    <w:rsid w:val="00D9709D"/>
    <w:rsid w:val="00D97961"/>
    <w:rsid w:val="00DA1B0B"/>
    <w:rsid w:val="00DA1CB8"/>
    <w:rsid w:val="00DB12C5"/>
    <w:rsid w:val="00DB628F"/>
    <w:rsid w:val="00DB6F72"/>
    <w:rsid w:val="00DC05E1"/>
    <w:rsid w:val="00DC1797"/>
    <w:rsid w:val="00DC36E5"/>
    <w:rsid w:val="00DC3AFB"/>
    <w:rsid w:val="00DC4694"/>
    <w:rsid w:val="00DE36D5"/>
    <w:rsid w:val="00DE3CB7"/>
    <w:rsid w:val="00DE5ADA"/>
    <w:rsid w:val="00DE704C"/>
    <w:rsid w:val="00DF5E59"/>
    <w:rsid w:val="00E16BF6"/>
    <w:rsid w:val="00E26EF9"/>
    <w:rsid w:val="00E51566"/>
    <w:rsid w:val="00E60201"/>
    <w:rsid w:val="00E60FA6"/>
    <w:rsid w:val="00E74D40"/>
    <w:rsid w:val="00E77AF4"/>
    <w:rsid w:val="00EB13D6"/>
    <w:rsid w:val="00EC5452"/>
    <w:rsid w:val="00EC593C"/>
    <w:rsid w:val="00EC5D19"/>
    <w:rsid w:val="00ED3795"/>
    <w:rsid w:val="00ED5D13"/>
    <w:rsid w:val="00EE02F5"/>
    <w:rsid w:val="00EE7917"/>
    <w:rsid w:val="00EF3F30"/>
    <w:rsid w:val="00EF41A0"/>
    <w:rsid w:val="00EF5D87"/>
    <w:rsid w:val="00F11747"/>
    <w:rsid w:val="00F11999"/>
    <w:rsid w:val="00F14E24"/>
    <w:rsid w:val="00F16BE8"/>
    <w:rsid w:val="00F25AED"/>
    <w:rsid w:val="00F25B53"/>
    <w:rsid w:val="00F26A57"/>
    <w:rsid w:val="00F3022D"/>
    <w:rsid w:val="00F32D3D"/>
    <w:rsid w:val="00F355B7"/>
    <w:rsid w:val="00F3740A"/>
    <w:rsid w:val="00F41FE0"/>
    <w:rsid w:val="00F5491C"/>
    <w:rsid w:val="00F55E0F"/>
    <w:rsid w:val="00F7403C"/>
    <w:rsid w:val="00F8046B"/>
    <w:rsid w:val="00F87D4A"/>
    <w:rsid w:val="00FA1F14"/>
    <w:rsid w:val="00FA3F49"/>
    <w:rsid w:val="00FA568D"/>
    <w:rsid w:val="00FA56D9"/>
    <w:rsid w:val="00FB79E7"/>
    <w:rsid w:val="00FD209B"/>
    <w:rsid w:val="00FD3737"/>
    <w:rsid w:val="00FD7197"/>
    <w:rsid w:val="00FE2F93"/>
    <w:rsid w:val="00FE7A42"/>
    <w:rsid w:val="00FF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6619"/>
  <w15:docId w15:val="{4A3D36E4-F113-4676-9CA1-3577F2DD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854887"/>
    <w:pPr>
      <w:ind w:left="720"/>
      <w:contextualSpacing/>
    </w:pPr>
  </w:style>
  <w:style w:type="paragraph" w:styleId="Header">
    <w:name w:val="header"/>
    <w:basedOn w:val="Normal"/>
    <w:link w:val="HeaderChar"/>
    <w:uiPriority w:val="99"/>
    <w:unhideWhenUsed/>
    <w:rsid w:val="00CE3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C05"/>
  </w:style>
  <w:style w:type="character" w:styleId="Hyperlink">
    <w:name w:val="Hyperlink"/>
    <w:basedOn w:val="DefaultParagraphFont"/>
    <w:uiPriority w:val="99"/>
    <w:unhideWhenUsed/>
    <w:rsid w:val="00A64BEB"/>
    <w:rPr>
      <w:color w:val="0000FF" w:themeColor="hyperlink"/>
      <w:u w:val="single"/>
    </w:rPr>
  </w:style>
  <w:style w:type="paragraph" w:styleId="Footer">
    <w:name w:val="footer"/>
    <w:basedOn w:val="Normal"/>
    <w:link w:val="FooterChar"/>
    <w:uiPriority w:val="99"/>
    <w:unhideWhenUsed/>
    <w:rsid w:val="00163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6B"/>
  </w:style>
  <w:style w:type="paragraph" w:styleId="PlainText">
    <w:name w:val="Plain Text"/>
    <w:basedOn w:val="Normal"/>
    <w:link w:val="PlainTextChar"/>
    <w:uiPriority w:val="99"/>
    <w:unhideWhenUsed/>
    <w:rsid w:val="00EE79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E7917"/>
    <w:rPr>
      <w:rFonts w:ascii="Calibri" w:hAnsi="Calibri"/>
      <w:szCs w:val="21"/>
    </w:rPr>
  </w:style>
  <w:style w:type="paragraph" w:styleId="NoSpacing">
    <w:name w:val="No Spacing"/>
    <w:uiPriority w:val="1"/>
    <w:qFormat/>
    <w:rsid w:val="003C2D9B"/>
    <w:pPr>
      <w:spacing w:after="0" w:line="240" w:lineRule="auto"/>
    </w:pPr>
  </w:style>
  <w:style w:type="paragraph" w:styleId="NormalWeb">
    <w:name w:val="Normal (Web)"/>
    <w:basedOn w:val="Normal"/>
    <w:uiPriority w:val="99"/>
    <w:unhideWhenUsed/>
    <w:rsid w:val="00AA64E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3249">
      <w:bodyDiv w:val="1"/>
      <w:marLeft w:val="0"/>
      <w:marRight w:val="0"/>
      <w:marTop w:val="0"/>
      <w:marBottom w:val="0"/>
      <w:divBdr>
        <w:top w:val="none" w:sz="0" w:space="0" w:color="auto"/>
        <w:left w:val="none" w:sz="0" w:space="0" w:color="auto"/>
        <w:bottom w:val="none" w:sz="0" w:space="0" w:color="auto"/>
        <w:right w:val="none" w:sz="0" w:space="0" w:color="auto"/>
      </w:divBdr>
    </w:div>
    <w:div w:id="371199535">
      <w:bodyDiv w:val="1"/>
      <w:marLeft w:val="0"/>
      <w:marRight w:val="0"/>
      <w:marTop w:val="0"/>
      <w:marBottom w:val="0"/>
      <w:divBdr>
        <w:top w:val="none" w:sz="0" w:space="0" w:color="auto"/>
        <w:left w:val="none" w:sz="0" w:space="0" w:color="auto"/>
        <w:bottom w:val="none" w:sz="0" w:space="0" w:color="auto"/>
        <w:right w:val="none" w:sz="0" w:space="0" w:color="auto"/>
      </w:divBdr>
    </w:div>
    <w:div w:id="6162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046B-386D-4965-8079-A9A69445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Alan Davis</cp:lastModifiedBy>
  <cp:revision>4</cp:revision>
  <cp:lastPrinted>2015-10-08T19:35:00Z</cp:lastPrinted>
  <dcterms:created xsi:type="dcterms:W3CDTF">2018-05-09T21:18:00Z</dcterms:created>
  <dcterms:modified xsi:type="dcterms:W3CDTF">2018-06-06T17:09:00Z</dcterms:modified>
</cp:coreProperties>
</file>