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236BD3F" wp14:editId="5906C24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646BAA" w:rsidRPr="0060016E" w:rsidRDefault="00646BAA" w:rsidP="00420086">
                            <w:pPr>
                              <w:jc w:val="center"/>
                              <w:rPr>
                                <w:b/>
                              </w:rPr>
                            </w:pPr>
                            <w:r>
                              <w:rPr>
                                <w:b/>
                              </w:rPr>
                              <w:t>Unit Goal Revisions</w:t>
                            </w:r>
                          </w:p>
                          <w:p w:rsidR="00646BAA" w:rsidRPr="0060016E" w:rsidRDefault="00646BAA" w:rsidP="00420086">
                            <w:pPr>
                              <w:jc w:val="center"/>
                              <w:rPr>
                                <w:b/>
                              </w:rPr>
                            </w:pPr>
                            <w:r>
                              <w:rPr>
                                <w:b/>
                              </w:rPr>
                              <w:t>201</w:t>
                            </w:r>
                            <w:r w:rsidR="008D6EB4">
                              <w:rPr>
                                <w:b/>
                              </w:rPr>
                              <w:t>6</w:t>
                            </w:r>
                            <w:r>
                              <w:rPr>
                                <w:b/>
                              </w:rPr>
                              <w:t xml:space="preserve"> - 201</w:t>
                            </w:r>
                            <w:r w:rsidR="008D6EB4">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646BAA" w:rsidRPr="0060016E" w:rsidRDefault="00646BAA" w:rsidP="00420086">
                      <w:pPr>
                        <w:jc w:val="center"/>
                        <w:rPr>
                          <w:b/>
                        </w:rPr>
                      </w:pPr>
                      <w:r>
                        <w:rPr>
                          <w:b/>
                        </w:rPr>
                        <w:t>Unit Goal Revisions</w:t>
                      </w:r>
                    </w:p>
                    <w:p w:rsidR="00646BAA" w:rsidRPr="0060016E" w:rsidRDefault="00646BAA" w:rsidP="00420086">
                      <w:pPr>
                        <w:jc w:val="center"/>
                        <w:rPr>
                          <w:b/>
                        </w:rPr>
                      </w:pPr>
                      <w:r>
                        <w:rPr>
                          <w:b/>
                        </w:rPr>
                        <w:t>201</w:t>
                      </w:r>
                      <w:r w:rsidR="008D6EB4">
                        <w:rPr>
                          <w:b/>
                        </w:rPr>
                        <w:t>6</w:t>
                      </w:r>
                      <w:r>
                        <w:rPr>
                          <w:b/>
                        </w:rPr>
                        <w:t xml:space="preserve"> - 201</w:t>
                      </w:r>
                      <w:r w:rsidR="008D6EB4">
                        <w:rPr>
                          <w:b/>
                        </w:rPr>
                        <w:t>7</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rsidR="00646BAA" w:rsidRDefault="00646BAA" w:rsidP="00420086">
      <w:pPr>
        <w:spacing w:after="480"/>
      </w:pPr>
      <w:r>
        <w:t xml:space="preserve">Following the first year each unit submits a goal progress report and revises their unit goals for the second year. </w:t>
      </w:r>
    </w:p>
    <w:p w:rsidR="00420086" w:rsidRDefault="00420086" w:rsidP="00420086">
      <w:pPr>
        <w:rPr>
          <w:b/>
        </w:rPr>
      </w:pPr>
      <w:r w:rsidRPr="006F4F81">
        <w:rPr>
          <w:b/>
        </w:rPr>
        <w:t>Name of Program</w:t>
      </w:r>
      <w:r>
        <w:rPr>
          <w:b/>
        </w:rPr>
        <w:t>/Department</w:t>
      </w:r>
      <w:r w:rsidRPr="006F4F81">
        <w:rPr>
          <w:b/>
        </w:rPr>
        <w:t>:</w:t>
      </w:r>
      <w:r w:rsidR="009357BB">
        <w:rPr>
          <w:b/>
        </w:rPr>
        <w:t xml:space="preserve">   Math, Engineering, &amp; Science Division </w:t>
      </w:r>
    </w:p>
    <w:p w:rsidR="00481035" w:rsidRDefault="00481035" w:rsidP="00481035">
      <w:pPr>
        <w:rPr>
          <w:b/>
        </w:rPr>
      </w:pPr>
    </w:p>
    <w:p w:rsidR="00481035" w:rsidRDefault="00481035" w:rsidP="00481035">
      <w:pPr>
        <w:rPr>
          <w:b/>
        </w:rPr>
      </w:pPr>
      <w:r>
        <w:rPr>
          <w:b/>
        </w:rPr>
        <w:t>201</w:t>
      </w:r>
      <w:r w:rsidR="0078796A">
        <w:rPr>
          <w:b/>
        </w:rPr>
        <w:t>5</w:t>
      </w:r>
      <w:r>
        <w:rPr>
          <w:b/>
        </w:rPr>
        <w:t>-201</w:t>
      </w:r>
      <w:r w:rsidR="0078796A">
        <w:rPr>
          <w:b/>
        </w:rPr>
        <w:t>6</w:t>
      </w:r>
      <w:r w:rsidR="001D13DD">
        <w:rPr>
          <w:b/>
        </w:rPr>
        <w:t xml:space="preserve"> </w:t>
      </w:r>
      <w:r>
        <w:rPr>
          <w:b/>
        </w:rPr>
        <w:t xml:space="preserve">Accomplishments: </w:t>
      </w:r>
      <w:r w:rsidR="009357BB">
        <w:rPr>
          <w:b/>
        </w:rPr>
        <w:t xml:space="preserve"> </w:t>
      </w:r>
    </w:p>
    <w:p w:rsidR="0078796A" w:rsidRPr="0078796A" w:rsidRDefault="009357BB" w:rsidP="009357BB">
      <w:pPr>
        <w:pStyle w:val="ListParagraph"/>
        <w:numPr>
          <w:ilvl w:val="0"/>
          <w:numId w:val="6"/>
        </w:numPr>
        <w:rPr>
          <w:b/>
        </w:rPr>
      </w:pPr>
      <w:r w:rsidRPr="0078796A">
        <w:rPr>
          <w:b/>
        </w:rPr>
        <w:t xml:space="preserve">1 projection unit, screen, and computer was purchased and installed for </w:t>
      </w:r>
      <w:r w:rsidR="00A03371" w:rsidRPr="0078796A">
        <w:rPr>
          <w:b/>
        </w:rPr>
        <w:t>Math</w:t>
      </w:r>
      <w:r w:rsidRPr="0078796A">
        <w:rPr>
          <w:b/>
        </w:rPr>
        <w:t xml:space="preserve"> class room. </w:t>
      </w:r>
      <w:r w:rsidR="0078796A">
        <w:rPr>
          <w:b/>
        </w:rPr>
        <w:t xml:space="preserve"> This equipment has proved to be very successful in teaching our Math classes, with good results and feedback from our students. </w:t>
      </w:r>
    </w:p>
    <w:p w:rsidR="00420086" w:rsidRDefault="009357BB" w:rsidP="00420086">
      <w:pPr>
        <w:rPr>
          <w:b/>
        </w:rPr>
      </w:pPr>
      <w:r w:rsidRPr="009357BB">
        <w:rPr>
          <w:b/>
        </w:rPr>
        <w:t xml:space="preserve">  </w:t>
      </w:r>
    </w:p>
    <w:p w:rsidR="00420086" w:rsidRDefault="00646BAA" w:rsidP="00420086">
      <w:pPr>
        <w:rPr>
          <w:b/>
        </w:rPr>
      </w:pPr>
      <w:r>
        <w:rPr>
          <w:b/>
        </w:rPr>
        <w:t xml:space="preserve">Revised </w:t>
      </w:r>
      <w:r w:rsidR="00420086">
        <w:rPr>
          <w:b/>
        </w:rPr>
        <w:t xml:space="preserve">Unit Goals (plans for the unit for the </w:t>
      </w:r>
      <w:r>
        <w:rPr>
          <w:b/>
        </w:rPr>
        <w:t>second year of the two year plan):</w:t>
      </w:r>
    </w:p>
    <w:p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rsidR="00420086" w:rsidRDefault="00420086" w:rsidP="00420086">
      <w:pPr>
        <w:pStyle w:val="ListParagraph"/>
        <w:numPr>
          <w:ilvl w:val="0"/>
          <w:numId w:val="1"/>
        </w:numPr>
        <w:rPr>
          <w:b/>
        </w:rPr>
      </w:pPr>
      <w:r>
        <w:rPr>
          <w:b/>
        </w:rPr>
        <w:t xml:space="preserve">Method of Assessment – how the unit will determine if the objective has been met. </w:t>
      </w:r>
    </w:p>
    <w:p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rsidR="00BB4C08" w:rsidRDefault="00646BAA" w:rsidP="00BB4C08">
      <w:pPr>
        <w:rPr>
          <w:b/>
        </w:rPr>
      </w:pPr>
      <w:r>
        <w:rPr>
          <w:b/>
        </w:rPr>
        <w:lastRenderedPageBreak/>
        <w:t xml:space="preserve">Revised </w:t>
      </w:r>
      <w:r w:rsidR="00BB4C08">
        <w:rPr>
          <w:b/>
        </w:rPr>
        <w:t xml:space="preserve">Unit </w:t>
      </w:r>
      <w:r w:rsidR="00BB4C08" w:rsidRPr="000B5E31">
        <w:t xml:space="preserve">Goals </w:t>
      </w:r>
    </w:p>
    <w:p w:rsidR="009F5A64" w:rsidRDefault="009F5A64" w:rsidP="00BB4C08">
      <w:pPr>
        <w:rPr>
          <w:b/>
        </w:rPr>
      </w:pPr>
      <w:r>
        <w:rPr>
          <w:b/>
        </w:rPr>
        <w:t>Goal 1:  Maintain classrooms, Chemistry and Physics Labs with up-to-date equipment and faculty with up-to-date computers,</w:t>
      </w:r>
      <w:r w:rsidR="00F25A74">
        <w:rPr>
          <w:b/>
        </w:rPr>
        <w:t xml:space="preserve"> document cameras, projector untis, </w:t>
      </w:r>
      <w:r>
        <w:rPr>
          <w:b/>
        </w:rPr>
        <w:t>hardware and software in order to provide quality instruction.</w:t>
      </w:r>
    </w:p>
    <w:p w:rsidR="009F5A64" w:rsidRDefault="009F5A64" w:rsidP="00BB4C08">
      <w:pPr>
        <w:rPr>
          <w:b/>
        </w:rPr>
      </w:pPr>
    </w:p>
    <w:p w:rsidR="009F5A64" w:rsidRDefault="009F5A64" w:rsidP="009F5A64">
      <w:pPr>
        <w:pStyle w:val="ListParagraph"/>
        <w:numPr>
          <w:ilvl w:val="0"/>
          <w:numId w:val="9"/>
        </w:numPr>
        <w:rPr>
          <w:b/>
        </w:rPr>
      </w:pPr>
      <w:r w:rsidRPr="009F5A64">
        <w:rPr>
          <w:b/>
        </w:rPr>
        <w:t xml:space="preserve"> Objectives</w:t>
      </w:r>
      <w:r>
        <w:rPr>
          <w:b/>
        </w:rPr>
        <w:t xml:space="preserve">   </w:t>
      </w:r>
    </w:p>
    <w:p w:rsidR="009F5A64" w:rsidRDefault="009F5A64" w:rsidP="009F5A64">
      <w:pPr>
        <w:pStyle w:val="ListParagraph"/>
        <w:numPr>
          <w:ilvl w:val="0"/>
          <w:numId w:val="10"/>
        </w:numPr>
        <w:rPr>
          <w:b/>
        </w:rPr>
      </w:pPr>
      <w:r w:rsidRPr="009F5A64">
        <w:rPr>
          <w:b/>
        </w:rPr>
        <w:t xml:space="preserve">Relocate the Physics Lab from the current location at CH 221 to CH 209, to </w:t>
      </w:r>
      <w:r w:rsidR="00752234" w:rsidRPr="009F5A64">
        <w:rPr>
          <w:b/>
        </w:rPr>
        <w:t>bring</w:t>
      </w:r>
      <w:r w:rsidR="00752234">
        <w:rPr>
          <w:b/>
        </w:rPr>
        <w:t xml:space="preserve"> </w:t>
      </w:r>
      <w:r w:rsidR="00752234" w:rsidRPr="009F5A64">
        <w:rPr>
          <w:b/>
        </w:rPr>
        <w:t>the Physics</w:t>
      </w:r>
      <w:r w:rsidRPr="009F5A64">
        <w:rPr>
          <w:b/>
        </w:rPr>
        <w:t xml:space="preserve"> Lab up to date with the state-of –the-art equipment.</w:t>
      </w:r>
    </w:p>
    <w:p w:rsidR="009F5A64" w:rsidRDefault="009F5A64" w:rsidP="009F5A64">
      <w:pPr>
        <w:pStyle w:val="ListParagraph"/>
        <w:numPr>
          <w:ilvl w:val="0"/>
          <w:numId w:val="10"/>
        </w:numPr>
        <w:rPr>
          <w:b/>
        </w:rPr>
      </w:pPr>
      <w:r>
        <w:rPr>
          <w:b/>
        </w:rPr>
        <w:t>Continue to upgrade computers being used by full-time Faculty members.</w:t>
      </w:r>
    </w:p>
    <w:p w:rsidR="009F5A64" w:rsidRDefault="009F5A64" w:rsidP="009F5A64">
      <w:pPr>
        <w:pStyle w:val="ListParagraph"/>
        <w:numPr>
          <w:ilvl w:val="0"/>
          <w:numId w:val="10"/>
        </w:numPr>
        <w:rPr>
          <w:b/>
        </w:rPr>
      </w:pPr>
      <w:r>
        <w:rPr>
          <w:b/>
        </w:rPr>
        <w:t>Add 1 projection unit, including computer, screen and document camera for CH 211</w:t>
      </w:r>
      <w:r w:rsidR="00A03371">
        <w:rPr>
          <w:b/>
        </w:rPr>
        <w:t>, Chemistry classroom and CH 217, Physics classroom.</w:t>
      </w:r>
    </w:p>
    <w:p w:rsidR="00055C5D" w:rsidRPr="00AE4CD5" w:rsidRDefault="00055C5D" w:rsidP="00055C5D">
      <w:pPr>
        <w:pStyle w:val="ListParagraph"/>
        <w:numPr>
          <w:ilvl w:val="0"/>
          <w:numId w:val="10"/>
        </w:numPr>
        <w:rPr>
          <w:b/>
        </w:rPr>
      </w:pPr>
      <w:r w:rsidRPr="00AE4CD5">
        <w:rPr>
          <w:b/>
        </w:rPr>
        <w:t>Purchase</w:t>
      </w:r>
      <w:r w:rsidR="00EB561E" w:rsidRPr="00AE4CD5">
        <w:rPr>
          <w:b/>
        </w:rPr>
        <w:t xml:space="preserve"> </w:t>
      </w:r>
      <w:r w:rsidR="002328D3" w:rsidRPr="00AE4CD5">
        <w:rPr>
          <w:b/>
        </w:rPr>
        <w:t>needed</w:t>
      </w:r>
      <w:r w:rsidR="00EB561E" w:rsidRPr="00AE4CD5">
        <w:rPr>
          <w:b/>
        </w:rPr>
        <w:t xml:space="preserve"> Chemistry Equipment from Vernier</w:t>
      </w:r>
      <w:bookmarkStart w:id="0" w:name="_GoBack"/>
      <w:bookmarkEnd w:id="0"/>
    </w:p>
    <w:p w:rsidR="00F42E2A" w:rsidRDefault="00F42E2A" w:rsidP="00055C5D">
      <w:pPr>
        <w:rPr>
          <w:b/>
        </w:rPr>
      </w:pPr>
    </w:p>
    <w:p w:rsidR="0042732E" w:rsidRDefault="0042732E" w:rsidP="0042732E">
      <w:pPr>
        <w:pStyle w:val="ListParagraph"/>
        <w:numPr>
          <w:ilvl w:val="0"/>
          <w:numId w:val="9"/>
        </w:numPr>
        <w:rPr>
          <w:b/>
        </w:rPr>
      </w:pPr>
      <w:r w:rsidRPr="0042732E">
        <w:rPr>
          <w:b/>
        </w:rPr>
        <w:t xml:space="preserve">Method of Assessment </w:t>
      </w:r>
    </w:p>
    <w:p w:rsidR="0042732E" w:rsidRDefault="0042732E" w:rsidP="0042732E">
      <w:pPr>
        <w:pStyle w:val="ListParagraph"/>
        <w:numPr>
          <w:ilvl w:val="0"/>
          <w:numId w:val="11"/>
        </w:numPr>
        <w:rPr>
          <w:b/>
        </w:rPr>
      </w:pPr>
      <w:r>
        <w:rPr>
          <w:b/>
        </w:rPr>
        <w:t xml:space="preserve"> Coordinate with the Dean of Legal Services and Buildings to see that the Physics Lab construction goes as planned.  Monitor the purchase and installation of hardware and software to ensure currency.</w:t>
      </w:r>
    </w:p>
    <w:p w:rsidR="0042732E" w:rsidRDefault="0042732E" w:rsidP="0042732E">
      <w:pPr>
        <w:pStyle w:val="ListParagraph"/>
        <w:numPr>
          <w:ilvl w:val="0"/>
          <w:numId w:val="11"/>
        </w:numPr>
        <w:rPr>
          <w:b/>
        </w:rPr>
      </w:pPr>
      <w:r>
        <w:rPr>
          <w:b/>
        </w:rPr>
        <w:t>Obtain feedback and data from faculty regarding the use and currency of instructional equipment used in lecture classrooms as well as faculties’ offices.</w:t>
      </w:r>
    </w:p>
    <w:p w:rsidR="0042732E" w:rsidRDefault="0042732E" w:rsidP="0042732E">
      <w:pPr>
        <w:pStyle w:val="ListParagraph"/>
        <w:numPr>
          <w:ilvl w:val="0"/>
          <w:numId w:val="11"/>
        </w:numPr>
        <w:rPr>
          <w:b/>
        </w:rPr>
      </w:pPr>
      <w:r>
        <w:rPr>
          <w:b/>
        </w:rPr>
        <w:t>Monitor the purchase and installation of equipment, while also obtaining feedback from the faculty using the equipment for instruction.</w:t>
      </w:r>
    </w:p>
    <w:p w:rsidR="00AE4CD5" w:rsidRDefault="00AE4CD5" w:rsidP="0042732E">
      <w:pPr>
        <w:pStyle w:val="ListParagraph"/>
        <w:numPr>
          <w:ilvl w:val="0"/>
          <w:numId w:val="11"/>
        </w:numPr>
        <w:rPr>
          <w:b/>
        </w:rPr>
      </w:pPr>
      <w:r>
        <w:rPr>
          <w:b/>
        </w:rPr>
        <w:t>Monitor the purchase and installation of equipment, while also obtaining feedback from the faculty using the equipment for instruction</w:t>
      </w:r>
      <w:r>
        <w:rPr>
          <w:b/>
        </w:rPr>
        <w:t>.</w:t>
      </w:r>
    </w:p>
    <w:p w:rsidR="00246071" w:rsidRDefault="00246071" w:rsidP="00752234">
      <w:pPr>
        <w:rPr>
          <w:b/>
        </w:rPr>
      </w:pPr>
    </w:p>
    <w:p w:rsidR="00A03371" w:rsidRDefault="00A03371" w:rsidP="00752234">
      <w:pPr>
        <w:rPr>
          <w:b/>
        </w:rPr>
      </w:pPr>
    </w:p>
    <w:p w:rsidR="00F42E2A" w:rsidRDefault="00F42E2A" w:rsidP="00752234">
      <w:pPr>
        <w:rPr>
          <w:b/>
        </w:rPr>
      </w:pPr>
    </w:p>
    <w:p w:rsidR="002259B2" w:rsidRPr="00246071" w:rsidRDefault="002259B2" w:rsidP="00246071">
      <w:pPr>
        <w:pStyle w:val="ListParagraph"/>
        <w:numPr>
          <w:ilvl w:val="0"/>
          <w:numId w:val="9"/>
        </w:numPr>
        <w:rPr>
          <w:rFonts w:eastAsiaTheme="minorEastAsia"/>
        </w:rPr>
      </w:pPr>
      <w:r w:rsidRPr="00246071">
        <w:rPr>
          <w:rFonts w:eastAsiaTheme="minorEastAsia"/>
        </w:rPr>
        <w:lastRenderedPageBreak/>
        <w:t>Additional Funding Requests</w:t>
      </w:r>
    </w:p>
    <w:p w:rsidR="002259B2" w:rsidRPr="00246071" w:rsidRDefault="002259B2" w:rsidP="00246071">
      <w:pPr>
        <w:pStyle w:val="ListParagraph"/>
        <w:numPr>
          <w:ilvl w:val="0"/>
          <w:numId w:val="20"/>
        </w:numPr>
        <w:rPr>
          <w:rFonts w:eastAsiaTheme="minorEastAsia" w:cstheme="minorHAnsi"/>
        </w:rPr>
      </w:pPr>
      <w:r w:rsidRPr="00246071">
        <w:rPr>
          <w:rFonts w:eastAsiaTheme="minorEastAsia" w:cstheme="minorHAnsi"/>
        </w:rPr>
        <w:t>This is a major expense and the conservative estimate is around $70,000.00</w:t>
      </w:r>
    </w:p>
    <w:p w:rsidR="00246071" w:rsidRDefault="00246071" w:rsidP="00246071">
      <w:pPr>
        <w:pStyle w:val="ListParagraph"/>
        <w:numPr>
          <w:ilvl w:val="0"/>
          <w:numId w:val="20"/>
        </w:numPr>
        <w:rPr>
          <w:rFonts w:eastAsiaTheme="minorEastAsia"/>
        </w:rPr>
      </w:pPr>
      <w:r w:rsidRPr="00246071">
        <w:rPr>
          <w:rFonts w:eastAsiaTheme="minorEastAsia"/>
        </w:rPr>
        <w:t>Funding estimate to purchase computers for objective 1</w:t>
      </w:r>
      <w:r>
        <w:rPr>
          <w:rFonts w:eastAsiaTheme="minorEastAsia"/>
        </w:rPr>
        <w:t>b</w:t>
      </w:r>
      <w:r w:rsidRPr="00246071">
        <w:rPr>
          <w:rFonts w:eastAsiaTheme="minorEastAsia"/>
        </w:rPr>
        <w:t xml:space="preserve">: </w:t>
      </w:r>
      <w:r>
        <w:rPr>
          <w:rFonts w:eastAsiaTheme="minorEastAsia"/>
        </w:rPr>
        <w:t>(Includes Biology and Math instructors. )</w:t>
      </w:r>
      <w:r w:rsidRPr="00246071">
        <w:rPr>
          <w:rFonts w:eastAsiaTheme="minorEastAsia"/>
        </w:rPr>
        <w:br/>
        <w:t xml:space="preserve">        </w:t>
      </w:r>
      <w:r>
        <w:rPr>
          <w:rFonts w:eastAsiaTheme="minorEastAsia"/>
        </w:rPr>
        <w:t xml:space="preserve">10 </w:t>
      </w:r>
      <w:r w:rsidRPr="00246071">
        <w:rPr>
          <w:rFonts w:eastAsiaTheme="minorEastAsia"/>
        </w:rPr>
        <w:t>units @ $1,000 each = $</w:t>
      </w:r>
      <w:r>
        <w:rPr>
          <w:rFonts w:eastAsiaTheme="minorEastAsia"/>
        </w:rPr>
        <w:t>10</w:t>
      </w:r>
      <w:r w:rsidRPr="00246071">
        <w:rPr>
          <w:rFonts w:eastAsiaTheme="minorEastAsia"/>
        </w:rPr>
        <w:t>,000.</w:t>
      </w:r>
    </w:p>
    <w:p w:rsidR="00F42E2A" w:rsidRPr="00F42E2A" w:rsidRDefault="00246071" w:rsidP="00F42E2A">
      <w:pPr>
        <w:pStyle w:val="ListParagraph"/>
        <w:numPr>
          <w:ilvl w:val="0"/>
          <w:numId w:val="20"/>
        </w:numPr>
        <w:rPr>
          <w:rFonts w:eastAsiaTheme="minorEastAsia"/>
        </w:rPr>
      </w:pPr>
      <w:r w:rsidRPr="00F42E2A">
        <w:rPr>
          <w:rFonts w:eastAsiaTheme="minorEastAsia"/>
        </w:rPr>
        <w:t xml:space="preserve">Funding estimate to purchase </w:t>
      </w:r>
      <w:r w:rsidR="00A03371" w:rsidRPr="00F42E2A">
        <w:rPr>
          <w:rFonts w:eastAsiaTheme="minorEastAsia"/>
        </w:rPr>
        <w:t>2</w:t>
      </w:r>
      <w:r w:rsidRPr="00F42E2A">
        <w:rPr>
          <w:rFonts w:eastAsiaTheme="minorEastAsia"/>
        </w:rPr>
        <w:t xml:space="preserve"> projection unit</w:t>
      </w:r>
      <w:r w:rsidR="00A03371" w:rsidRPr="00F42E2A">
        <w:rPr>
          <w:rFonts w:eastAsiaTheme="minorEastAsia"/>
        </w:rPr>
        <w:t>s</w:t>
      </w:r>
      <w:r w:rsidRPr="00F42E2A">
        <w:rPr>
          <w:rFonts w:eastAsiaTheme="minorEastAsia"/>
        </w:rPr>
        <w:t>, including computer</w:t>
      </w:r>
      <w:r w:rsidR="00A03371" w:rsidRPr="00F42E2A">
        <w:rPr>
          <w:rFonts w:eastAsiaTheme="minorEastAsia"/>
        </w:rPr>
        <w:t>s</w:t>
      </w:r>
      <w:r w:rsidRPr="00F42E2A">
        <w:rPr>
          <w:rFonts w:eastAsiaTheme="minorEastAsia"/>
        </w:rPr>
        <w:t>, screen</w:t>
      </w:r>
      <w:r w:rsidR="00A03371" w:rsidRPr="00F42E2A">
        <w:rPr>
          <w:rFonts w:eastAsiaTheme="minorEastAsia"/>
        </w:rPr>
        <w:t>s</w:t>
      </w:r>
      <w:r w:rsidRPr="00F42E2A">
        <w:rPr>
          <w:rFonts w:eastAsiaTheme="minorEastAsia"/>
        </w:rPr>
        <w:t>, and           document camera</w:t>
      </w:r>
      <w:r w:rsidR="00A03371" w:rsidRPr="00F42E2A">
        <w:rPr>
          <w:rFonts w:eastAsiaTheme="minorEastAsia"/>
        </w:rPr>
        <w:t>s</w:t>
      </w:r>
      <w:r w:rsidRPr="00F42E2A">
        <w:rPr>
          <w:rFonts w:eastAsiaTheme="minorEastAsia"/>
        </w:rPr>
        <w:t xml:space="preserve"> for CH 211</w:t>
      </w:r>
      <w:r w:rsidR="00A03371" w:rsidRPr="00F42E2A">
        <w:rPr>
          <w:rFonts w:eastAsiaTheme="minorEastAsia"/>
        </w:rPr>
        <w:t xml:space="preserve"> and CH 217</w:t>
      </w:r>
      <w:r w:rsidRPr="00F42E2A">
        <w:rPr>
          <w:rFonts w:eastAsiaTheme="minorEastAsia"/>
        </w:rPr>
        <w:t xml:space="preserve"> objective 1c:  </w:t>
      </w:r>
      <w:r w:rsidR="00A03371" w:rsidRPr="00F42E2A">
        <w:rPr>
          <w:rFonts w:eastAsiaTheme="minorEastAsia"/>
        </w:rPr>
        <w:t xml:space="preserve">2 </w:t>
      </w:r>
      <w:r w:rsidRPr="00F42E2A">
        <w:rPr>
          <w:rFonts w:eastAsiaTheme="minorEastAsia"/>
        </w:rPr>
        <w:t>document camera</w:t>
      </w:r>
      <w:r w:rsidR="00A03371" w:rsidRPr="00F42E2A">
        <w:rPr>
          <w:rFonts w:eastAsiaTheme="minorEastAsia"/>
        </w:rPr>
        <w:t>s</w:t>
      </w:r>
      <w:r w:rsidRPr="00F42E2A">
        <w:rPr>
          <w:rFonts w:eastAsiaTheme="minorEastAsia"/>
        </w:rPr>
        <w:t xml:space="preserve"> @$1,675 each.     </w:t>
      </w:r>
      <w:r w:rsidR="00A03371" w:rsidRPr="00F42E2A">
        <w:rPr>
          <w:rFonts w:eastAsiaTheme="minorEastAsia"/>
        </w:rPr>
        <w:t>2</w:t>
      </w:r>
      <w:r w:rsidRPr="00F42E2A">
        <w:rPr>
          <w:rFonts w:eastAsiaTheme="minorEastAsia"/>
        </w:rPr>
        <w:t xml:space="preserve"> projection unit</w:t>
      </w:r>
      <w:r w:rsidR="00A03371" w:rsidRPr="00F42E2A">
        <w:rPr>
          <w:rFonts w:eastAsiaTheme="minorEastAsia"/>
        </w:rPr>
        <w:t>s</w:t>
      </w:r>
      <w:r w:rsidRPr="00F42E2A">
        <w:rPr>
          <w:rFonts w:eastAsiaTheme="minorEastAsia"/>
        </w:rPr>
        <w:t xml:space="preserve"> with screen</w:t>
      </w:r>
      <w:r w:rsidR="00A03371" w:rsidRPr="00F42E2A">
        <w:rPr>
          <w:rFonts w:eastAsiaTheme="minorEastAsia"/>
        </w:rPr>
        <w:t>s</w:t>
      </w:r>
      <w:r w:rsidRPr="00F42E2A">
        <w:rPr>
          <w:rFonts w:eastAsiaTheme="minorEastAsia"/>
        </w:rPr>
        <w:t xml:space="preserve"> @ 1,750.00 each.    </w:t>
      </w:r>
    </w:p>
    <w:tbl>
      <w:tblPr>
        <w:tblW w:w="15384" w:type="dxa"/>
        <w:tblCellMar>
          <w:left w:w="0" w:type="dxa"/>
          <w:right w:w="0" w:type="dxa"/>
        </w:tblCellMar>
        <w:tblLook w:val="04A0" w:firstRow="1" w:lastRow="0" w:firstColumn="1" w:lastColumn="0" w:noHBand="0" w:noVBand="1"/>
      </w:tblPr>
      <w:tblGrid>
        <w:gridCol w:w="2266"/>
        <w:gridCol w:w="2278"/>
        <w:gridCol w:w="820"/>
        <w:gridCol w:w="352"/>
        <w:gridCol w:w="916"/>
        <w:gridCol w:w="1259"/>
        <w:gridCol w:w="7657"/>
      </w:tblGrid>
      <w:tr w:rsidR="00F42E2A" w:rsidTr="001A0475">
        <w:trPr>
          <w:trHeight w:val="300"/>
        </w:trPr>
        <w:tc>
          <w:tcPr>
            <w:tcW w:w="4380" w:type="dxa"/>
            <w:gridSpan w:val="2"/>
            <w:noWrap/>
            <w:tcMar>
              <w:top w:w="15" w:type="dxa"/>
              <w:left w:w="15" w:type="dxa"/>
              <w:bottom w:w="0" w:type="dxa"/>
              <w:right w:w="15" w:type="dxa"/>
            </w:tcMar>
            <w:vAlign w:val="bottom"/>
            <w:hideMark/>
          </w:tcPr>
          <w:p w:rsidR="00F42E2A" w:rsidRPr="00F42E2A" w:rsidRDefault="00F42E2A" w:rsidP="00F42E2A">
            <w:pPr>
              <w:pStyle w:val="ListParagraph"/>
              <w:numPr>
                <w:ilvl w:val="0"/>
                <w:numId w:val="20"/>
              </w:numPr>
              <w:rPr>
                <w:rFonts w:ascii="Calibri" w:eastAsia="Times New Roman" w:hAnsi="Calibri"/>
                <w:color w:val="000000"/>
                <w:sz w:val="24"/>
                <w:szCs w:val="24"/>
              </w:rPr>
            </w:pPr>
            <w:r w:rsidRPr="00F42E2A">
              <w:rPr>
                <w:rFonts w:ascii="Calibri" w:eastAsia="Times New Roman" w:hAnsi="Calibri"/>
                <w:color w:val="000000"/>
              </w:rPr>
              <w:t>CHEM Equipment Request- Vernier</w:t>
            </w:r>
          </w:p>
        </w:tc>
        <w:tc>
          <w:tcPr>
            <w:tcW w:w="820" w:type="dxa"/>
            <w:noWrap/>
            <w:tcMar>
              <w:top w:w="15" w:type="dxa"/>
              <w:left w:w="15" w:type="dxa"/>
              <w:bottom w:w="0" w:type="dxa"/>
              <w:right w:w="15" w:type="dxa"/>
            </w:tcMar>
            <w:vAlign w:val="bottom"/>
            <w:hideMark/>
          </w:tcPr>
          <w:p w:rsidR="00F42E2A" w:rsidRDefault="00F42E2A" w:rsidP="001A0475">
            <w:pPr>
              <w:rPr>
                <w:rFonts w:eastAsia="Times New Roman"/>
                <w:sz w:val="20"/>
                <w:szCs w:val="20"/>
              </w:rPr>
            </w:pPr>
          </w:p>
        </w:tc>
        <w:tc>
          <w:tcPr>
            <w:tcW w:w="10184" w:type="dxa"/>
            <w:gridSpan w:val="4"/>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24 Students (1 Station for every 4 students)</w:t>
            </w:r>
          </w:p>
        </w:tc>
      </w:tr>
      <w:tr w:rsidR="00F42E2A" w:rsidTr="001A0475">
        <w:trPr>
          <w:trHeight w:val="300"/>
        </w:trPr>
        <w:tc>
          <w:tcPr>
            <w:tcW w:w="0" w:type="auto"/>
            <w:noWrap/>
            <w:tcMar>
              <w:top w:w="15" w:type="dxa"/>
              <w:left w:w="15" w:type="dxa"/>
              <w:bottom w:w="0" w:type="dxa"/>
              <w:right w:w="15" w:type="dxa"/>
            </w:tcMar>
            <w:vAlign w:val="bottom"/>
            <w:hideMark/>
          </w:tcPr>
          <w:p w:rsidR="00F42E2A" w:rsidRDefault="00F42E2A" w:rsidP="001A0475">
            <w:pPr>
              <w:rPr>
                <w:rFonts w:eastAsia="Times New Roman"/>
                <w:sz w:val="20"/>
                <w:szCs w:val="20"/>
              </w:rPr>
            </w:pPr>
          </w:p>
        </w:tc>
        <w:tc>
          <w:tcPr>
            <w:tcW w:w="0" w:type="auto"/>
            <w:noWrap/>
            <w:tcMar>
              <w:top w:w="15" w:type="dxa"/>
              <w:left w:w="15" w:type="dxa"/>
              <w:bottom w:w="0" w:type="dxa"/>
              <w:right w:w="15" w:type="dxa"/>
            </w:tcMar>
            <w:vAlign w:val="bottom"/>
            <w:hideMark/>
          </w:tcPr>
          <w:p w:rsidR="00F42E2A" w:rsidRDefault="00F42E2A" w:rsidP="001A0475">
            <w:pPr>
              <w:rPr>
                <w:rFonts w:eastAsia="Times New Roman"/>
                <w:sz w:val="20"/>
                <w:szCs w:val="20"/>
              </w:rPr>
            </w:pPr>
          </w:p>
        </w:tc>
        <w:tc>
          <w:tcPr>
            <w:tcW w:w="0" w:type="auto"/>
            <w:noWrap/>
            <w:tcMar>
              <w:top w:w="15" w:type="dxa"/>
              <w:left w:w="15" w:type="dxa"/>
              <w:bottom w:w="0" w:type="dxa"/>
              <w:right w:w="15" w:type="dxa"/>
            </w:tcMar>
            <w:vAlign w:val="bottom"/>
            <w:hideMark/>
          </w:tcPr>
          <w:p w:rsidR="00F42E2A" w:rsidRDefault="00F42E2A" w:rsidP="001A0475">
            <w:pPr>
              <w:rPr>
                <w:rFonts w:eastAsia="Times New Roman"/>
                <w:sz w:val="20"/>
                <w:szCs w:val="20"/>
              </w:rPr>
            </w:pPr>
          </w:p>
        </w:tc>
        <w:tc>
          <w:tcPr>
            <w:tcW w:w="0" w:type="auto"/>
            <w:noWrap/>
            <w:tcMar>
              <w:top w:w="15" w:type="dxa"/>
              <w:left w:w="15" w:type="dxa"/>
              <w:bottom w:w="0" w:type="dxa"/>
              <w:right w:w="15" w:type="dxa"/>
            </w:tcMar>
            <w:vAlign w:val="bottom"/>
            <w:hideMark/>
          </w:tcPr>
          <w:p w:rsidR="00F42E2A" w:rsidRDefault="00F42E2A" w:rsidP="001A0475">
            <w:pPr>
              <w:rPr>
                <w:rFonts w:eastAsia="Times New Roman"/>
                <w:sz w:val="20"/>
                <w:szCs w:val="20"/>
              </w:rPr>
            </w:pPr>
          </w:p>
        </w:tc>
        <w:tc>
          <w:tcPr>
            <w:tcW w:w="0" w:type="auto"/>
            <w:noWrap/>
            <w:tcMar>
              <w:top w:w="15" w:type="dxa"/>
              <w:left w:w="15" w:type="dxa"/>
              <w:bottom w:w="0" w:type="dxa"/>
              <w:right w:w="15" w:type="dxa"/>
            </w:tcMar>
            <w:vAlign w:val="bottom"/>
            <w:hideMark/>
          </w:tcPr>
          <w:p w:rsidR="00F42E2A" w:rsidRDefault="00F42E2A" w:rsidP="001A0475">
            <w:pPr>
              <w:rPr>
                <w:rFonts w:eastAsia="Times New Roman"/>
                <w:sz w:val="20"/>
                <w:szCs w:val="20"/>
              </w:rPr>
            </w:pPr>
          </w:p>
        </w:tc>
        <w:tc>
          <w:tcPr>
            <w:tcW w:w="0" w:type="auto"/>
            <w:noWrap/>
            <w:tcMar>
              <w:top w:w="15" w:type="dxa"/>
              <w:left w:w="15" w:type="dxa"/>
              <w:bottom w:w="0" w:type="dxa"/>
              <w:right w:w="15" w:type="dxa"/>
            </w:tcMar>
            <w:vAlign w:val="bottom"/>
            <w:hideMark/>
          </w:tcPr>
          <w:p w:rsidR="00F42E2A" w:rsidRDefault="00F42E2A" w:rsidP="001A0475">
            <w:pPr>
              <w:rPr>
                <w:rFonts w:eastAsia="Times New Roman"/>
                <w:sz w:val="20"/>
                <w:szCs w:val="20"/>
              </w:rPr>
            </w:pPr>
          </w:p>
        </w:tc>
        <w:tc>
          <w:tcPr>
            <w:tcW w:w="0" w:type="auto"/>
            <w:noWrap/>
            <w:tcMar>
              <w:top w:w="15" w:type="dxa"/>
              <w:left w:w="15" w:type="dxa"/>
              <w:bottom w:w="0" w:type="dxa"/>
              <w:right w:w="15" w:type="dxa"/>
            </w:tcMar>
            <w:vAlign w:val="bottom"/>
            <w:hideMark/>
          </w:tcPr>
          <w:p w:rsidR="00F42E2A" w:rsidRDefault="00F42E2A" w:rsidP="001A0475">
            <w:pPr>
              <w:rPr>
                <w:rFonts w:eastAsia="Times New Roman"/>
                <w:sz w:val="20"/>
                <w:szCs w:val="20"/>
              </w:rPr>
            </w:pPr>
          </w:p>
        </w:tc>
      </w:tr>
      <w:tr w:rsidR="00F42E2A" w:rsidTr="001A0475">
        <w:trPr>
          <w:trHeight w:val="300"/>
        </w:trPr>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Item Number</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Description</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Price</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proofErr w:type="spellStart"/>
            <w:r>
              <w:rPr>
                <w:rFonts w:ascii="Calibri" w:eastAsia="Times New Roman" w:hAnsi="Calibri"/>
                <w:color w:val="000000"/>
              </w:rPr>
              <w:t>Qty</w:t>
            </w:r>
            <w:proofErr w:type="spellEnd"/>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proofErr w:type="spellStart"/>
            <w:r>
              <w:rPr>
                <w:rFonts w:ascii="Calibri" w:eastAsia="Times New Roman" w:hAnsi="Calibri"/>
                <w:color w:val="000000"/>
              </w:rPr>
              <w:t>Extd</w:t>
            </w:r>
            <w:proofErr w:type="spellEnd"/>
            <w:r>
              <w:rPr>
                <w:rFonts w:ascii="Calibri" w:eastAsia="Times New Roman" w:hAnsi="Calibri"/>
                <w:color w:val="000000"/>
              </w:rPr>
              <w:t xml:space="preserve"> Price</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Course</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Needed For</w:t>
            </w:r>
          </w:p>
        </w:tc>
      </w:tr>
      <w:tr w:rsidR="00F42E2A" w:rsidTr="001A0475">
        <w:trPr>
          <w:trHeight w:val="300"/>
        </w:trPr>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LABQ2</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proofErr w:type="spellStart"/>
            <w:r>
              <w:rPr>
                <w:rFonts w:ascii="Calibri" w:eastAsia="Times New Roman" w:hAnsi="Calibri"/>
                <w:color w:val="000000"/>
              </w:rPr>
              <w:t>LabQuest</w:t>
            </w:r>
            <w:proofErr w:type="spellEnd"/>
            <w:r>
              <w:rPr>
                <w:rFonts w:ascii="Calibri" w:eastAsia="Times New Roman" w:hAnsi="Calibri"/>
                <w:color w:val="000000"/>
              </w:rPr>
              <w:t xml:space="preserve"> 2 Interface</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$329</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6</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$1,974</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ALL</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General Data Collection Interface</w:t>
            </w:r>
          </w:p>
        </w:tc>
      </w:tr>
      <w:tr w:rsidR="00F42E2A" w:rsidTr="001A0475">
        <w:trPr>
          <w:trHeight w:val="300"/>
        </w:trPr>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PH-BTA</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pH Sensor</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$79</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6</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$474</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CHM 111-112</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pH Meter for Acid-Base (111) and Equilibrium Labs (112)</w:t>
            </w:r>
          </w:p>
        </w:tc>
      </w:tr>
      <w:tr w:rsidR="00F42E2A" w:rsidTr="001A0475">
        <w:trPr>
          <w:trHeight w:val="300"/>
        </w:trPr>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PS400-BTA</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Pressure Sensor 400</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$189</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6</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$1,134</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CHM 111-112</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 xml:space="preserve">Gas Laws (111), </w:t>
            </w:r>
            <w:proofErr w:type="spellStart"/>
            <w:r>
              <w:rPr>
                <w:rFonts w:ascii="Calibri" w:eastAsia="Times New Roman" w:hAnsi="Calibri"/>
                <w:color w:val="000000"/>
              </w:rPr>
              <w:t>Clausius</w:t>
            </w:r>
            <w:proofErr w:type="spellEnd"/>
            <w:r>
              <w:rPr>
                <w:rFonts w:ascii="Calibri" w:eastAsia="Times New Roman" w:hAnsi="Calibri"/>
                <w:color w:val="000000"/>
              </w:rPr>
              <w:t xml:space="preserve"> </w:t>
            </w:r>
            <w:proofErr w:type="spellStart"/>
            <w:r>
              <w:rPr>
                <w:rFonts w:ascii="Calibri" w:eastAsia="Times New Roman" w:hAnsi="Calibri"/>
                <w:color w:val="000000"/>
              </w:rPr>
              <w:t>Clapeyron</w:t>
            </w:r>
            <w:proofErr w:type="spellEnd"/>
            <w:r>
              <w:rPr>
                <w:rFonts w:ascii="Calibri" w:eastAsia="Times New Roman" w:hAnsi="Calibri"/>
                <w:color w:val="000000"/>
              </w:rPr>
              <w:t xml:space="preserve"> (112)</w:t>
            </w:r>
          </w:p>
        </w:tc>
      </w:tr>
      <w:tr w:rsidR="00F42E2A" w:rsidTr="001A0475">
        <w:trPr>
          <w:trHeight w:val="300"/>
        </w:trPr>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VP-BTA</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Voltage Probe</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$12</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6</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$72</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CHM 112</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Electrochemistry (112)</w:t>
            </w:r>
          </w:p>
        </w:tc>
      </w:tr>
      <w:tr w:rsidR="00F42E2A" w:rsidTr="001A0475">
        <w:trPr>
          <w:trHeight w:val="300"/>
        </w:trPr>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VSP-UV</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UV-VIS</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$1,999</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1</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$1,999</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ALL</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Beers Law (111), Kinetics, Thermodynamics (112), Sample Characterization (221, 222)</w:t>
            </w:r>
          </w:p>
        </w:tc>
      </w:tr>
      <w:tr w:rsidR="00F42E2A" w:rsidTr="001A0475">
        <w:trPr>
          <w:trHeight w:val="300"/>
        </w:trPr>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GC2-MINI</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Mini Gas Chromatograph</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$2,289</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1</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$2,289</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CHM 221-222</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Reaction Thermodynamics (CHM 221), Sample Characterization (221, 222)</w:t>
            </w:r>
          </w:p>
        </w:tc>
      </w:tr>
      <w:tr w:rsidR="00F42E2A" w:rsidTr="001A0475">
        <w:trPr>
          <w:trHeight w:val="300"/>
        </w:trPr>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CHEM-POL</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proofErr w:type="spellStart"/>
            <w:r>
              <w:rPr>
                <w:rFonts w:ascii="Calibri" w:eastAsia="Times New Roman" w:hAnsi="Calibri"/>
                <w:color w:val="000000"/>
              </w:rPr>
              <w:t>Polarimeter</w:t>
            </w:r>
            <w:proofErr w:type="spellEnd"/>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$499</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1</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$499</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CHM 221-222</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Reaction Kinetics, Stereochemistry (221), Carbohydrate Chemistry (222)</w:t>
            </w:r>
          </w:p>
        </w:tc>
      </w:tr>
      <w:tr w:rsidR="00F42E2A" w:rsidTr="001A0475">
        <w:trPr>
          <w:trHeight w:val="300"/>
        </w:trPr>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VDC-BTD</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Drop Counter</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$99</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6</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$594</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CHM 112</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Standardizes titration for better accuracy in equilibrium lab (112)</w:t>
            </w:r>
          </w:p>
        </w:tc>
      </w:tr>
      <w:tr w:rsidR="00F42E2A" w:rsidTr="001A0475">
        <w:trPr>
          <w:trHeight w:val="300"/>
        </w:trPr>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ORP-BTA</w:t>
            </w: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ORP Sensor</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$81</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6</w:t>
            </w: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r>
              <w:rPr>
                <w:rFonts w:ascii="Calibri" w:eastAsia="Times New Roman" w:hAnsi="Calibri"/>
                <w:color w:val="000000"/>
              </w:rPr>
              <w:t>$486</w:t>
            </w:r>
          </w:p>
        </w:tc>
        <w:tc>
          <w:tcPr>
            <w:tcW w:w="0" w:type="auto"/>
            <w:noWrap/>
            <w:tcMar>
              <w:top w:w="15" w:type="dxa"/>
              <w:left w:w="15" w:type="dxa"/>
              <w:bottom w:w="0" w:type="dxa"/>
              <w:right w:w="15" w:type="dxa"/>
            </w:tcMar>
            <w:vAlign w:val="bottom"/>
            <w:hideMark/>
          </w:tcPr>
          <w:p w:rsidR="00F42E2A" w:rsidRDefault="00F42E2A" w:rsidP="001A0475">
            <w:pPr>
              <w:rPr>
                <w:rFonts w:eastAsia="Times New Roman"/>
                <w:sz w:val="20"/>
                <w:szCs w:val="20"/>
              </w:rPr>
            </w:pPr>
          </w:p>
        </w:tc>
        <w:tc>
          <w:tcPr>
            <w:tcW w:w="0" w:type="auto"/>
            <w:noWrap/>
            <w:tcMar>
              <w:top w:w="15" w:type="dxa"/>
              <w:left w:w="15" w:type="dxa"/>
              <w:bottom w:w="0" w:type="dxa"/>
              <w:right w:w="15" w:type="dxa"/>
            </w:tcMar>
            <w:vAlign w:val="bottom"/>
            <w:hideMark/>
          </w:tcPr>
          <w:p w:rsidR="00F42E2A" w:rsidRDefault="00F42E2A" w:rsidP="001A0475">
            <w:pPr>
              <w:rPr>
                <w:rFonts w:ascii="Calibri" w:eastAsia="Times New Roman" w:hAnsi="Calibri"/>
                <w:color w:val="000000"/>
                <w:sz w:val="24"/>
                <w:szCs w:val="24"/>
              </w:rPr>
            </w:pPr>
            <w:r>
              <w:rPr>
                <w:rFonts w:ascii="Calibri" w:eastAsia="Times New Roman" w:hAnsi="Calibri"/>
                <w:color w:val="000000"/>
              </w:rPr>
              <w:t>Oxidation Reduction potential sensor for REDOX titrations (112)</w:t>
            </w:r>
          </w:p>
        </w:tc>
      </w:tr>
      <w:tr w:rsidR="00F42E2A" w:rsidTr="001A0475">
        <w:trPr>
          <w:trHeight w:val="300"/>
        </w:trPr>
        <w:tc>
          <w:tcPr>
            <w:tcW w:w="0" w:type="auto"/>
            <w:noWrap/>
            <w:tcMar>
              <w:top w:w="15" w:type="dxa"/>
              <w:left w:w="15" w:type="dxa"/>
              <w:bottom w:w="0" w:type="dxa"/>
              <w:right w:w="15" w:type="dxa"/>
            </w:tcMar>
            <w:vAlign w:val="bottom"/>
            <w:hideMark/>
          </w:tcPr>
          <w:p w:rsidR="00F42E2A" w:rsidRPr="00762472" w:rsidRDefault="00762472" w:rsidP="00762472">
            <w:pPr>
              <w:rPr>
                <w:rFonts w:eastAsia="Times New Roman"/>
                <w:b/>
                <w:szCs w:val="20"/>
                <w:u w:val="single"/>
              </w:rPr>
            </w:pPr>
            <w:r w:rsidRPr="00762472">
              <w:rPr>
                <w:rFonts w:eastAsia="Times New Roman"/>
                <w:b/>
                <w:szCs w:val="20"/>
                <w:u w:val="single"/>
              </w:rPr>
              <w:t>Total with estimated tax</w:t>
            </w:r>
          </w:p>
        </w:tc>
        <w:tc>
          <w:tcPr>
            <w:tcW w:w="0" w:type="auto"/>
            <w:noWrap/>
            <w:tcMar>
              <w:top w:w="15" w:type="dxa"/>
              <w:left w:w="15" w:type="dxa"/>
              <w:bottom w:w="0" w:type="dxa"/>
              <w:right w:w="15" w:type="dxa"/>
            </w:tcMar>
            <w:vAlign w:val="bottom"/>
            <w:hideMark/>
          </w:tcPr>
          <w:p w:rsidR="00F42E2A" w:rsidRPr="00762472" w:rsidRDefault="00762472" w:rsidP="00762472">
            <w:pPr>
              <w:rPr>
                <w:rFonts w:eastAsia="Times New Roman"/>
                <w:b/>
                <w:szCs w:val="20"/>
                <w:u w:val="single"/>
              </w:rPr>
            </w:pPr>
            <w:r w:rsidRPr="00762472">
              <w:rPr>
                <w:rFonts w:eastAsia="Times New Roman"/>
                <w:b/>
                <w:szCs w:val="20"/>
                <w:u w:val="single"/>
              </w:rPr>
              <w:t xml:space="preserve">   $10,199.29</w:t>
            </w:r>
          </w:p>
        </w:tc>
        <w:tc>
          <w:tcPr>
            <w:tcW w:w="0" w:type="auto"/>
            <w:noWrap/>
            <w:tcMar>
              <w:top w:w="15" w:type="dxa"/>
              <w:left w:w="15" w:type="dxa"/>
              <w:bottom w:w="0" w:type="dxa"/>
              <w:right w:w="15" w:type="dxa"/>
            </w:tcMar>
            <w:vAlign w:val="bottom"/>
            <w:hideMark/>
          </w:tcPr>
          <w:p w:rsidR="00F42E2A" w:rsidRDefault="00F42E2A" w:rsidP="001A0475">
            <w:pPr>
              <w:rPr>
                <w:rFonts w:eastAsia="Times New Roman"/>
                <w:sz w:val="20"/>
                <w:szCs w:val="20"/>
              </w:rPr>
            </w:pPr>
          </w:p>
        </w:tc>
        <w:tc>
          <w:tcPr>
            <w:tcW w:w="0" w:type="auto"/>
            <w:noWrap/>
            <w:tcMar>
              <w:top w:w="15" w:type="dxa"/>
              <w:left w:w="15" w:type="dxa"/>
              <w:bottom w:w="0" w:type="dxa"/>
              <w:right w:w="15" w:type="dxa"/>
            </w:tcMar>
            <w:vAlign w:val="bottom"/>
            <w:hideMark/>
          </w:tcPr>
          <w:p w:rsidR="00F42E2A" w:rsidRDefault="00F42E2A" w:rsidP="001A0475">
            <w:pPr>
              <w:rPr>
                <w:rFonts w:eastAsia="Times New Roman"/>
                <w:sz w:val="20"/>
                <w:szCs w:val="20"/>
              </w:rPr>
            </w:pPr>
          </w:p>
        </w:tc>
        <w:tc>
          <w:tcPr>
            <w:tcW w:w="0" w:type="auto"/>
            <w:noWrap/>
            <w:tcMar>
              <w:top w:w="15" w:type="dxa"/>
              <w:left w:w="15" w:type="dxa"/>
              <w:bottom w:w="0" w:type="dxa"/>
              <w:right w:w="15" w:type="dxa"/>
            </w:tcMar>
            <w:vAlign w:val="bottom"/>
            <w:hideMark/>
          </w:tcPr>
          <w:p w:rsidR="00F42E2A" w:rsidRDefault="00F42E2A" w:rsidP="001A0475">
            <w:pPr>
              <w:jc w:val="right"/>
              <w:rPr>
                <w:rFonts w:ascii="Calibri" w:eastAsia="Times New Roman" w:hAnsi="Calibri"/>
                <w:color w:val="000000"/>
                <w:sz w:val="24"/>
                <w:szCs w:val="24"/>
              </w:rPr>
            </w:pPr>
          </w:p>
        </w:tc>
        <w:tc>
          <w:tcPr>
            <w:tcW w:w="0" w:type="auto"/>
            <w:noWrap/>
            <w:tcMar>
              <w:top w:w="15" w:type="dxa"/>
              <w:left w:w="15" w:type="dxa"/>
              <w:bottom w:w="0" w:type="dxa"/>
              <w:right w:w="15" w:type="dxa"/>
            </w:tcMar>
            <w:vAlign w:val="bottom"/>
            <w:hideMark/>
          </w:tcPr>
          <w:p w:rsidR="00F42E2A" w:rsidRDefault="00F42E2A" w:rsidP="001A0475">
            <w:pPr>
              <w:rPr>
                <w:rFonts w:eastAsia="Times New Roman"/>
                <w:sz w:val="20"/>
                <w:szCs w:val="20"/>
              </w:rPr>
            </w:pPr>
          </w:p>
        </w:tc>
        <w:tc>
          <w:tcPr>
            <w:tcW w:w="0" w:type="auto"/>
            <w:noWrap/>
            <w:tcMar>
              <w:top w:w="15" w:type="dxa"/>
              <w:left w:w="15" w:type="dxa"/>
              <w:bottom w:w="0" w:type="dxa"/>
              <w:right w:w="15" w:type="dxa"/>
            </w:tcMar>
            <w:vAlign w:val="bottom"/>
            <w:hideMark/>
          </w:tcPr>
          <w:p w:rsidR="00F42E2A" w:rsidRDefault="00F42E2A" w:rsidP="001A0475">
            <w:pPr>
              <w:rPr>
                <w:rFonts w:eastAsia="Times New Roman"/>
                <w:sz w:val="20"/>
                <w:szCs w:val="20"/>
              </w:rPr>
            </w:pPr>
          </w:p>
        </w:tc>
      </w:tr>
    </w:tbl>
    <w:p w:rsidR="00F42E2A" w:rsidRDefault="00F42E2A" w:rsidP="00F42E2A">
      <w:pPr>
        <w:ind w:left="720"/>
        <w:rPr>
          <w:b/>
        </w:rPr>
      </w:pPr>
    </w:p>
    <w:p w:rsidR="00F42E2A" w:rsidRPr="00F42E2A" w:rsidRDefault="00F42E2A" w:rsidP="00F42E2A">
      <w:pPr>
        <w:ind w:left="810"/>
        <w:rPr>
          <w:rFonts w:eastAsiaTheme="minorEastAsia"/>
          <w:b/>
        </w:rPr>
      </w:pPr>
    </w:p>
    <w:p w:rsidR="0078796A" w:rsidRDefault="00F42E2A" w:rsidP="0078796A">
      <w:pPr>
        <w:rPr>
          <w:rFonts w:eastAsiaTheme="minorEastAsia"/>
          <w:b/>
        </w:rPr>
      </w:pPr>
      <w:r>
        <w:rPr>
          <w:rFonts w:eastAsiaTheme="minorEastAsia"/>
          <w:b/>
        </w:rPr>
        <w:lastRenderedPageBreak/>
        <w:t xml:space="preserve"> </w:t>
      </w:r>
    </w:p>
    <w:p w:rsidR="0078796A" w:rsidRDefault="0078796A" w:rsidP="0078796A">
      <w:pPr>
        <w:rPr>
          <w:rFonts w:eastAsiaTheme="minorEastAsia"/>
          <w:b/>
        </w:rPr>
      </w:pPr>
    </w:p>
    <w:p w:rsidR="000B5E31" w:rsidRDefault="000B5E31" w:rsidP="002259B2">
      <w:pPr>
        <w:ind w:left="720"/>
        <w:rPr>
          <w:b/>
        </w:rPr>
      </w:pPr>
    </w:p>
    <w:sectPr w:rsidR="000B5E31" w:rsidSect="00055C5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208" w:rsidRDefault="000B4208" w:rsidP="007D08A3">
      <w:pPr>
        <w:spacing w:after="0" w:line="240" w:lineRule="auto"/>
      </w:pPr>
      <w:r>
        <w:separator/>
      </w:r>
    </w:p>
  </w:endnote>
  <w:endnote w:type="continuationSeparator" w:id="0">
    <w:p w:rsidR="000B4208" w:rsidRDefault="000B4208"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BAA" w:rsidRDefault="00646BAA" w:rsidP="007D08A3">
    <w:pPr>
      <w:pStyle w:val="Footer"/>
      <w:jc w:val="right"/>
    </w:pPr>
  </w:p>
  <w:p w:rsidR="00646BAA" w:rsidRDefault="0064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208" w:rsidRDefault="000B4208" w:rsidP="007D08A3">
      <w:pPr>
        <w:spacing w:after="0" w:line="240" w:lineRule="auto"/>
      </w:pPr>
      <w:r>
        <w:separator/>
      </w:r>
    </w:p>
  </w:footnote>
  <w:footnote w:type="continuationSeparator" w:id="0">
    <w:p w:rsidR="000B4208" w:rsidRDefault="000B4208"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27E"/>
    <w:multiLevelType w:val="hybridMultilevel"/>
    <w:tmpl w:val="40EAB1C2"/>
    <w:lvl w:ilvl="0" w:tplc="7C6EFD2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765F1"/>
    <w:multiLevelType w:val="hybridMultilevel"/>
    <w:tmpl w:val="50F41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9664A92"/>
    <w:multiLevelType w:val="hybridMultilevel"/>
    <w:tmpl w:val="F62468F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A7800"/>
    <w:multiLevelType w:val="hybridMultilevel"/>
    <w:tmpl w:val="D728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35E13"/>
    <w:multiLevelType w:val="hybridMultilevel"/>
    <w:tmpl w:val="C3EA9124"/>
    <w:lvl w:ilvl="0" w:tplc="88B2A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C75FD7"/>
    <w:multiLevelType w:val="hybridMultilevel"/>
    <w:tmpl w:val="3D06A242"/>
    <w:lvl w:ilvl="0" w:tplc="BD9A4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7C21A1"/>
    <w:multiLevelType w:val="hybridMultilevel"/>
    <w:tmpl w:val="D0F4A6E8"/>
    <w:lvl w:ilvl="0" w:tplc="F62A2A3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B44A62"/>
    <w:multiLevelType w:val="hybridMultilevel"/>
    <w:tmpl w:val="04569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B4DC5"/>
    <w:multiLevelType w:val="hybridMultilevel"/>
    <w:tmpl w:val="7C78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174F5"/>
    <w:multiLevelType w:val="hybridMultilevel"/>
    <w:tmpl w:val="885EE052"/>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11647F"/>
    <w:multiLevelType w:val="hybridMultilevel"/>
    <w:tmpl w:val="6354FBCE"/>
    <w:lvl w:ilvl="0" w:tplc="F62A2A3C">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347038"/>
    <w:multiLevelType w:val="hybridMultilevel"/>
    <w:tmpl w:val="ED3EFE1E"/>
    <w:lvl w:ilvl="0" w:tplc="50565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F37014"/>
    <w:multiLevelType w:val="hybridMultilevel"/>
    <w:tmpl w:val="FD44A6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1184B"/>
    <w:multiLevelType w:val="hybridMultilevel"/>
    <w:tmpl w:val="BA12B960"/>
    <w:lvl w:ilvl="0" w:tplc="3118CCF8">
      <w:start w:val="1"/>
      <w:numFmt w:val="lowerLetter"/>
      <w:lvlText w:val="%1."/>
      <w:lvlJc w:val="left"/>
      <w:pPr>
        <w:ind w:left="1800" w:hanging="360"/>
      </w:pPr>
      <w:rPr>
        <w:rFonts w:asciiTheme="minorHAnsi" w:eastAsiaTheme="minorEastAsia" w:hAnsiTheme="minorHAnsi" w:cstheme="minorHAns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nsid w:val="6FE33612"/>
    <w:multiLevelType w:val="hybridMultilevel"/>
    <w:tmpl w:val="52ECBA92"/>
    <w:lvl w:ilvl="0" w:tplc="4920CA92">
      <w:start w:val="1"/>
      <w:numFmt w:val="lowerLetter"/>
      <w:lvlText w:val="%1."/>
      <w:lvlJc w:val="left"/>
      <w:pPr>
        <w:ind w:left="117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371E34"/>
    <w:multiLevelType w:val="hybridMultilevel"/>
    <w:tmpl w:val="ED3EFE1E"/>
    <w:lvl w:ilvl="0" w:tplc="50565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CF3945"/>
    <w:multiLevelType w:val="hybridMultilevel"/>
    <w:tmpl w:val="82100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7"/>
  </w:num>
  <w:num w:numId="4">
    <w:abstractNumId w:val="4"/>
  </w:num>
  <w:num w:numId="5">
    <w:abstractNumId w:val="14"/>
  </w:num>
  <w:num w:numId="6">
    <w:abstractNumId w:val="21"/>
  </w:num>
  <w:num w:numId="7">
    <w:abstractNumId w:val="11"/>
  </w:num>
  <w:num w:numId="8">
    <w:abstractNumId w:val="5"/>
  </w:num>
  <w:num w:numId="9">
    <w:abstractNumId w:val="10"/>
  </w:num>
  <w:num w:numId="10">
    <w:abstractNumId w:val="16"/>
  </w:num>
  <w:num w:numId="11">
    <w:abstractNumId w:val="8"/>
  </w:num>
  <w:num w:numId="12">
    <w:abstractNumId w:val="6"/>
  </w:num>
  <w:num w:numId="13">
    <w:abstractNumId w:val="18"/>
  </w:num>
  <w:num w:numId="14">
    <w:abstractNumId w:val="12"/>
  </w:num>
  <w:num w:numId="15">
    <w:abstractNumId w:val="13"/>
  </w:num>
  <w:num w:numId="16">
    <w:abstractNumId w:val="1"/>
  </w:num>
  <w:num w:numId="17">
    <w:abstractNumId w:val="17"/>
  </w:num>
  <w:num w:numId="18">
    <w:abstractNumId w:val="9"/>
  </w:num>
  <w:num w:numId="19">
    <w:abstractNumId w:val="2"/>
  </w:num>
  <w:num w:numId="20">
    <w:abstractNumId w:val="19"/>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55C5D"/>
    <w:rsid w:val="000A7774"/>
    <w:rsid w:val="000B4208"/>
    <w:rsid w:val="000B5E31"/>
    <w:rsid w:val="000D0ABA"/>
    <w:rsid w:val="001D13DD"/>
    <w:rsid w:val="0022410F"/>
    <w:rsid w:val="002259B2"/>
    <w:rsid w:val="002328D3"/>
    <w:rsid w:val="00246071"/>
    <w:rsid w:val="003412B8"/>
    <w:rsid w:val="00420086"/>
    <w:rsid w:val="0042732E"/>
    <w:rsid w:val="00481035"/>
    <w:rsid w:val="004A629F"/>
    <w:rsid w:val="005237E5"/>
    <w:rsid w:val="00632821"/>
    <w:rsid w:val="00646BAA"/>
    <w:rsid w:val="00752234"/>
    <w:rsid w:val="00762472"/>
    <w:rsid w:val="0078796A"/>
    <w:rsid w:val="007B1988"/>
    <w:rsid w:val="007D08A3"/>
    <w:rsid w:val="008031B6"/>
    <w:rsid w:val="008176EB"/>
    <w:rsid w:val="00896914"/>
    <w:rsid w:val="008B1658"/>
    <w:rsid w:val="008D6EB4"/>
    <w:rsid w:val="00915AD7"/>
    <w:rsid w:val="009357BB"/>
    <w:rsid w:val="009A44EA"/>
    <w:rsid w:val="009C7A07"/>
    <w:rsid w:val="009F5A64"/>
    <w:rsid w:val="00A03371"/>
    <w:rsid w:val="00AE4CD5"/>
    <w:rsid w:val="00AE6467"/>
    <w:rsid w:val="00BB4C08"/>
    <w:rsid w:val="00C47AD7"/>
    <w:rsid w:val="00C664F5"/>
    <w:rsid w:val="00C964B4"/>
    <w:rsid w:val="00EB561E"/>
    <w:rsid w:val="00F25A74"/>
    <w:rsid w:val="00F42E2A"/>
    <w:rsid w:val="00F61765"/>
    <w:rsid w:val="00FE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0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Vicki Adams</cp:lastModifiedBy>
  <cp:revision>2</cp:revision>
  <cp:lastPrinted>2016-07-20T18:58:00Z</cp:lastPrinted>
  <dcterms:created xsi:type="dcterms:W3CDTF">2016-07-20T19:25:00Z</dcterms:created>
  <dcterms:modified xsi:type="dcterms:W3CDTF">2016-07-20T19:25:00Z</dcterms:modified>
</cp:coreProperties>
</file>