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6" w:rsidRDefault="00420086" w:rsidP="00420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D4D3" wp14:editId="1FCB61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E9" w:rsidRDefault="007B5CE9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Goal Revisions</w:t>
                            </w:r>
                          </w:p>
                          <w:p w:rsidR="00514C74" w:rsidRPr="0060016E" w:rsidRDefault="00514C74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Math, Engineering, &amp; Science - Shelby</w:t>
                            </w:r>
                          </w:p>
                          <w:p w:rsidR="007B5CE9" w:rsidRPr="0060016E" w:rsidRDefault="007B5CE9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2016 - 2017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2D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:rsidR="007B5CE9" w:rsidRDefault="007B5CE9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Goal Revisions</w:t>
                      </w:r>
                    </w:p>
                    <w:p w:rsidR="00514C74" w:rsidRPr="0060016E" w:rsidRDefault="00514C74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Math, Engineering, &amp; Science - Shelby</w:t>
                      </w:r>
                    </w:p>
                    <w:p w:rsidR="007B5CE9" w:rsidRPr="0060016E" w:rsidRDefault="007B5CE9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2016 - 2017</w:t>
                      </w:r>
                    </w:p>
                  </w:txbxContent>
                </v:textbox>
              </v:shape>
            </w:pict>
          </mc:Fallback>
        </mc:AlternateContent>
      </w:r>
    </w:p>
    <w:p w:rsidR="00420086" w:rsidRDefault="00420086" w:rsidP="00420086"/>
    <w:p w:rsidR="00420086" w:rsidRDefault="00420086" w:rsidP="00420086"/>
    <w:p w:rsidR="00420086" w:rsidRDefault="00420086" w:rsidP="00420086"/>
    <w:p w:rsidR="00420086" w:rsidRPr="00EA4441" w:rsidRDefault="00420086" w:rsidP="00EA4441">
      <w:pPr>
        <w:spacing w:after="480"/>
      </w:pPr>
      <w:r w:rsidRPr="006F4F81">
        <w:rPr>
          <w:b/>
        </w:rPr>
        <w:t>Name of Program</w:t>
      </w:r>
      <w:r>
        <w:rPr>
          <w:b/>
        </w:rPr>
        <w:t>/Department</w:t>
      </w:r>
      <w:r w:rsidRPr="006F4F81">
        <w:rPr>
          <w:b/>
        </w:rPr>
        <w:t>:</w:t>
      </w:r>
      <w:r w:rsidR="009357BB">
        <w:rPr>
          <w:b/>
        </w:rPr>
        <w:t xml:space="preserve">   Math, Engineering, &amp; Science Division </w:t>
      </w:r>
      <w:r w:rsidR="00EA4441">
        <w:rPr>
          <w:b/>
        </w:rPr>
        <w:t>- Shelby</w:t>
      </w:r>
      <w:r w:rsidR="009357BB" w:rsidRPr="009357BB">
        <w:rPr>
          <w:b/>
        </w:rPr>
        <w:t xml:space="preserve">  </w:t>
      </w:r>
    </w:p>
    <w:p w:rsidR="00EA4441" w:rsidRDefault="00646BAA" w:rsidP="00BB4C08">
      <w:r>
        <w:rPr>
          <w:b/>
        </w:rPr>
        <w:t xml:space="preserve">Revised </w:t>
      </w:r>
      <w:r w:rsidR="00BB4C08" w:rsidRPr="00EA4441">
        <w:rPr>
          <w:b/>
        </w:rPr>
        <w:t>Unit Goals</w:t>
      </w:r>
      <w:r w:rsidR="00BB4C08" w:rsidRPr="000B5E31">
        <w:t xml:space="preserve"> </w:t>
      </w: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4441">
        <w:rPr>
          <w:rFonts w:ascii="Calibri" w:hAnsi="Calibri" w:cs="Calibri"/>
          <w:b/>
          <w:bCs/>
          <w:color w:val="000000"/>
        </w:rPr>
        <w:t xml:space="preserve">Goal </w:t>
      </w:r>
      <w:r>
        <w:rPr>
          <w:rFonts w:ascii="Calibri" w:hAnsi="Calibri" w:cs="Calibri"/>
          <w:b/>
          <w:bCs/>
          <w:color w:val="000000"/>
        </w:rPr>
        <w:t>3</w:t>
      </w:r>
      <w:r w:rsidRPr="00EA4441">
        <w:rPr>
          <w:rFonts w:ascii="Calibri" w:hAnsi="Calibri" w:cs="Calibri"/>
          <w:b/>
          <w:bCs/>
          <w:color w:val="000000"/>
        </w:rPr>
        <w:t xml:space="preserve">: Purchase new equipment to enhance laboratory instruction and dispose of chemical waste from labs. </w:t>
      </w: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4441">
        <w:rPr>
          <w:rFonts w:ascii="Calibri" w:hAnsi="Calibri" w:cs="Calibri"/>
          <w:b/>
          <w:bCs/>
          <w:color w:val="000000"/>
        </w:rPr>
        <w:t xml:space="preserve">Objectives: </w:t>
      </w:r>
    </w:p>
    <w:p w:rsidR="00EA4441" w:rsidRPr="00EA4441" w:rsidRDefault="00EA4441" w:rsidP="00EA4441">
      <w:pPr>
        <w:autoSpaceDE w:val="0"/>
        <w:autoSpaceDN w:val="0"/>
        <w:adjustRightInd w:val="0"/>
        <w:spacing w:after="70" w:line="240" w:lineRule="auto"/>
        <w:ind w:left="720"/>
        <w:rPr>
          <w:rFonts w:ascii="Calibri" w:hAnsi="Calibri" w:cs="Calibri"/>
          <w:color w:val="000000"/>
        </w:rPr>
      </w:pPr>
    </w:p>
    <w:p w:rsidR="00EA4441" w:rsidRPr="00514C74" w:rsidRDefault="00EA4441" w:rsidP="00514C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EA4441">
        <w:rPr>
          <w:rFonts w:ascii="Calibri" w:hAnsi="Calibri" w:cs="Calibri"/>
          <w:color w:val="000000"/>
        </w:rPr>
        <w:t xml:space="preserve">Remove chemical waste </w:t>
      </w:r>
      <w:r w:rsidRPr="00EA4441">
        <w:rPr>
          <w:rFonts w:ascii="Calibri" w:hAnsi="Calibri" w:cs="Calibri"/>
          <w:noProof/>
          <w:color w:val="000000"/>
        </w:rPr>
        <w:t>to</w:t>
      </w:r>
      <w:r w:rsidRPr="00EA4441">
        <w:rPr>
          <w:rFonts w:ascii="Calibri" w:hAnsi="Calibri" w:cs="Calibri"/>
          <w:color w:val="000000"/>
        </w:rPr>
        <w:t xml:space="preserve"> prevent buildup of toxic material and ensure that items </w:t>
      </w:r>
      <w:r w:rsidRPr="00EA4441">
        <w:rPr>
          <w:rFonts w:ascii="Calibri" w:hAnsi="Calibri" w:cs="Calibri"/>
          <w:noProof/>
          <w:color w:val="000000"/>
        </w:rPr>
        <w:t>are disposed of</w:t>
      </w:r>
      <w:r w:rsidRPr="00EA4441">
        <w:rPr>
          <w:rFonts w:ascii="Calibri" w:hAnsi="Calibri" w:cs="Calibri"/>
          <w:color w:val="000000"/>
        </w:rPr>
        <w:t xml:space="preserve"> properly. </w:t>
      </w:r>
    </w:p>
    <w:p w:rsidR="00EA4441" w:rsidRPr="00EA4441" w:rsidRDefault="00EA4441" w:rsidP="00514C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4441">
        <w:rPr>
          <w:rFonts w:ascii="Calibri" w:hAnsi="Calibri" w:cs="Calibri"/>
          <w:color w:val="000000"/>
        </w:rPr>
        <w:t xml:space="preserve">Purchase of a new </w:t>
      </w:r>
      <w:r w:rsidR="00514C74">
        <w:rPr>
          <w:rFonts w:ascii="Calibri" w:hAnsi="Calibri" w:cs="Calibri"/>
          <w:color w:val="000000"/>
        </w:rPr>
        <w:t>equipment for chemistry laboratory</w:t>
      </w:r>
      <w:r w:rsidRPr="00EA4441">
        <w:rPr>
          <w:rFonts w:ascii="Calibri" w:hAnsi="Calibri" w:cs="Calibri"/>
          <w:color w:val="000000"/>
        </w:rPr>
        <w:t xml:space="preserve">. </w:t>
      </w: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b/>
        </w:rPr>
      </w:pP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b/>
        </w:rPr>
      </w:pPr>
      <w:r w:rsidRPr="00EA4441">
        <w:rPr>
          <w:rFonts w:ascii="Calibri" w:hAnsi="Calibri" w:cs="Calibri"/>
          <w:b/>
        </w:rPr>
        <w:t>Methods of Assessment</w:t>
      </w:r>
    </w:p>
    <w:p w:rsidR="00EA4441" w:rsidRPr="00EA4441" w:rsidRDefault="00EA4441" w:rsidP="00EA44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EA4441">
        <w:rPr>
          <w:rFonts w:ascii="Calibri" w:hAnsi="Calibri" w:cs="Calibri"/>
        </w:rPr>
        <w:t xml:space="preserve">The waste disposal </w:t>
      </w:r>
      <w:r w:rsidRPr="00EA4441">
        <w:rPr>
          <w:rFonts w:ascii="Calibri" w:hAnsi="Calibri" w:cs="Calibri"/>
          <w:noProof/>
        </w:rPr>
        <w:t>pick up</w:t>
      </w:r>
      <w:r w:rsidRPr="00EA4441">
        <w:rPr>
          <w:rFonts w:ascii="Calibri" w:hAnsi="Calibri" w:cs="Calibri"/>
        </w:rPr>
        <w:t xml:space="preserve"> will be initiated and monitored by both the lead chemistry instructor, and lab coordinator, Lisa </w:t>
      </w:r>
      <w:r w:rsidRPr="00EA4441">
        <w:rPr>
          <w:rFonts w:ascii="Calibri" w:hAnsi="Calibri" w:cs="Calibri"/>
          <w:noProof/>
        </w:rPr>
        <w:t>Nagy</w:t>
      </w:r>
      <w:r w:rsidRPr="00EA4441">
        <w:rPr>
          <w:rFonts w:ascii="Calibri" w:hAnsi="Calibri" w:cs="Calibri"/>
        </w:rPr>
        <w:t xml:space="preserve"> and Preston Wallace, respectively.</w:t>
      </w:r>
    </w:p>
    <w:p w:rsidR="00EA4441" w:rsidRPr="00EA4441" w:rsidRDefault="00EA4441" w:rsidP="00EA44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EA4441">
        <w:rPr>
          <w:rFonts w:ascii="Calibri" w:hAnsi="Calibri" w:cs="Calibri"/>
        </w:rPr>
        <w:t>Several chemistry laboratory exercises require the use o</w:t>
      </w:r>
      <w:r w:rsidR="00514C74">
        <w:rPr>
          <w:rFonts w:ascii="Calibri" w:hAnsi="Calibri" w:cs="Calibri"/>
        </w:rPr>
        <w:t>f equipment that yields results that are used for analysis and reporting purposes</w:t>
      </w:r>
      <w:r w:rsidRPr="00EA4441">
        <w:rPr>
          <w:rFonts w:ascii="Calibri" w:hAnsi="Calibri" w:cs="Calibri"/>
        </w:rPr>
        <w:t xml:space="preserve">. </w:t>
      </w:r>
      <w:r w:rsidR="00514C74">
        <w:rPr>
          <w:rFonts w:ascii="Calibri" w:hAnsi="Calibri" w:cs="Calibri"/>
        </w:rPr>
        <w:t xml:space="preserve"> Several pieces of equipment are in poor condition and need replacing</w:t>
      </w:r>
      <w:r w:rsidRPr="00EA4441">
        <w:rPr>
          <w:rFonts w:ascii="Calibri" w:hAnsi="Calibri" w:cs="Calibri"/>
        </w:rPr>
        <w:t xml:space="preserve">. </w:t>
      </w:r>
      <w:r w:rsidR="00514C74">
        <w:rPr>
          <w:rFonts w:ascii="Calibri" w:hAnsi="Calibri" w:cs="Calibri"/>
        </w:rPr>
        <w:t xml:space="preserve"> L</w:t>
      </w:r>
      <w:r w:rsidRPr="00EA4441">
        <w:rPr>
          <w:rFonts w:ascii="Calibri" w:hAnsi="Calibri" w:cs="Calibri"/>
        </w:rPr>
        <w:t xml:space="preserve">aboratory exercise </w:t>
      </w:r>
      <w:r w:rsidRPr="00EA4441">
        <w:rPr>
          <w:rFonts w:ascii="Calibri" w:hAnsi="Calibri" w:cs="Calibri"/>
          <w:noProof/>
        </w:rPr>
        <w:t>results, as well as feedback from the instructors and students,</w:t>
      </w:r>
      <w:r w:rsidRPr="00EA4441">
        <w:rPr>
          <w:rFonts w:ascii="Calibri" w:hAnsi="Calibri" w:cs="Calibri"/>
        </w:rPr>
        <w:t xml:space="preserve"> will </w:t>
      </w:r>
      <w:r w:rsidRPr="00EA4441">
        <w:rPr>
          <w:rFonts w:ascii="Calibri" w:hAnsi="Calibri" w:cs="Calibri"/>
          <w:noProof/>
        </w:rPr>
        <w:t>be used</w:t>
      </w:r>
      <w:r w:rsidRPr="00EA4441">
        <w:rPr>
          <w:rFonts w:ascii="Calibri" w:hAnsi="Calibri" w:cs="Calibri"/>
        </w:rPr>
        <w:t xml:space="preserve"> as a method of assessment. </w:t>
      </w: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</w:rPr>
      </w:pP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</w:rPr>
      </w:pPr>
      <w:r w:rsidRPr="00EA4441">
        <w:rPr>
          <w:rFonts w:ascii="Calibri" w:hAnsi="Calibri" w:cs="Calibri"/>
          <w:b/>
          <w:bCs/>
        </w:rPr>
        <w:t xml:space="preserve">Additional Funding Requests </w:t>
      </w:r>
    </w:p>
    <w:p w:rsidR="00EA4441" w:rsidRPr="00EA4441" w:rsidRDefault="00EA4441" w:rsidP="00EA444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4441">
        <w:rPr>
          <w:rFonts w:ascii="Calibri" w:hAnsi="Calibri" w:cs="Calibri"/>
        </w:rPr>
        <w:t xml:space="preserve">Waste Disposal Pick up for all campuses </w:t>
      </w: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ind w:left="540" w:firstLine="270"/>
        <w:rPr>
          <w:rFonts w:ascii="Calibri" w:hAnsi="Calibri" w:cs="Calibri"/>
        </w:rPr>
      </w:pPr>
      <w:r w:rsidRPr="00EA4441">
        <w:rPr>
          <w:rFonts w:ascii="Calibri" w:hAnsi="Calibri" w:cs="Calibri"/>
          <w:noProof/>
        </w:rPr>
        <w:t>Tradebe</w:t>
      </w:r>
      <w:r w:rsidRPr="00EA4441">
        <w:rPr>
          <w:rFonts w:ascii="Calibri" w:hAnsi="Calibri" w:cs="Calibri"/>
        </w:rPr>
        <w:t xml:space="preserve"> (waste disposal company) – estimated cost </w:t>
      </w:r>
      <w:r w:rsidRPr="00514C74">
        <w:rPr>
          <w:rFonts w:ascii="Calibri" w:hAnsi="Calibri" w:cs="Calibri"/>
          <w:highlight w:val="red"/>
        </w:rPr>
        <w:t>$2000.00</w:t>
      </w:r>
      <w:r w:rsidRPr="00EA4441">
        <w:rPr>
          <w:rFonts w:ascii="Calibri" w:hAnsi="Calibri" w:cs="Calibri"/>
        </w:rPr>
        <w:t xml:space="preserve"> </w:t>
      </w:r>
    </w:p>
    <w:p w:rsidR="00EA4441" w:rsidRPr="00EA4441" w:rsidRDefault="00EA4441" w:rsidP="00EA4441">
      <w:pPr>
        <w:autoSpaceDE w:val="0"/>
        <w:autoSpaceDN w:val="0"/>
        <w:adjustRightInd w:val="0"/>
        <w:spacing w:after="0" w:line="240" w:lineRule="auto"/>
        <w:ind w:left="540" w:firstLine="270"/>
        <w:rPr>
          <w:rFonts w:ascii="Calibri" w:hAnsi="Calibri" w:cs="Calibri"/>
        </w:rPr>
      </w:pPr>
    </w:p>
    <w:p w:rsidR="00EA4441" w:rsidRPr="00EA4441" w:rsidRDefault="00EA4441" w:rsidP="00EA444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4441">
        <w:rPr>
          <w:rFonts w:ascii="Calibri" w:hAnsi="Calibri" w:cs="Calibri"/>
        </w:rPr>
        <w:t xml:space="preserve">Analytical Balance- Mettler Toledo New Classic MS Analytical Balance </w:t>
      </w:r>
    </w:p>
    <w:p w:rsidR="00514C74" w:rsidRDefault="00514C74" w:rsidP="00EA4441">
      <w:pPr>
        <w:autoSpaceDE w:val="0"/>
        <w:autoSpaceDN w:val="0"/>
        <w:adjustRightInd w:val="0"/>
        <w:spacing w:after="0" w:line="240" w:lineRule="auto"/>
        <w:ind w:left="540" w:firstLine="270"/>
        <w:rPr>
          <w:rFonts w:ascii="Calibri" w:hAnsi="Calibri" w:cs="Calibri"/>
        </w:rPr>
      </w:pPr>
      <w:r>
        <w:rPr>
          <w:rFonts w:ascii="Calibri" w:hAnsi="Calibri" w:cs="Calibri"/>
        </w:rPr>
        <w:t>Fisher (Model # 01-910-200)</w:t>
      </w:r>
    </w:p>
    <w:p w:rsidR="00EA4441" w:rsidRPr="00EA4441" w:rsidRDefault="00514C74" w:rsidP="00EA4441">
      <w:pPr>
        <w:autoSpaceDE w:val="0"/>
        <w:autoSpaceDN w:val="0"/>
        <w:adjustRightInd w:val="0"/>
        <w:spacing w:after="0" w:line="240" w:lineRule="auto"/>
        <w:ind w:left="540" w:firstLine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 Cost: </w:t>
      </w:r>
      <w:r w:rsidR="00EA4441" w:rsidRPr="00EA4441">
        <w:rPr>
          <w:rFonts w:ascii="Calibri" w:hAnsi="Calibri" w:cs="Calibri"/>
        </w:rPr>
        <w:t xml:space="preserve"> </w:t>
      </w:r>
      <w:r w:rsidR="00EA4441" w:rsidRPr="00514C74">
        <w:rPr>
          <w:rFonts w:ascii="Calibri" w:hAnsi="Calibri" w:cs="Calibri"/>
          <w:highlight w:val="red"/>
        </w:rPr>
        <w:t>$3822.00</w:t>
      </w:r>
    </w:p>
    <w:p w:rsidR="00EA4441" w:rsidRDefault="00EA4441" w:rsidP="00BB4C08">
      <w:pPr>
        <w:rPr>
          <w:b/>
        </w:rPr>
      </w:pPr>
    </w:p>
    <w:p w:rsidR="00514C74" w:rsidRDefault="00514C74" w:rsidP="00BB4C08">
      <w:pPr>
        <w:rPr>
          <w:b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18"/>
        <w:gridCol w:w="1312"/>
        <w:gridCol w:w="1980"/>
        <w:gridCol w:w="1800"/>
      </w:tblGrid>
      <w:tr w:rsidR="00514C74" w:rsidTr="00514C74">
        <w:tc>
          <w:tcPr>
            <w:tcW w:w="7110" w:type="dxa"/>
            <w:gridSpan w:val="4"/>
            <w:shd w:val="clear" w:color="auto" w:fill="F2F2F2" w:themeFill="background1" w:themeFillShade="F2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Vernier Software and Equipment Request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Total Price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Vernier Labquest 2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329.00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$1974.00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Ph Senor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79.00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$474.00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Pressure Sensor 400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189.00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$1134.00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Vernier UV-VIS Spectrophotometer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1999.00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$1999.00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Voltage Probe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$72.00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Vernier Drop Counter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99.00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$594.00</w:t>
            </w:r>
          </w:p>
        </w:tc>
      </w:tr>
      <w:tr w:rsidR="00514C74" w:rsidTr="00514C74">
        <w:tc>
          <w:tcPr>
            <w:tcW w:w="2018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Orp Sensor</w:t>
            </w:r>
          </w:p>
        </w:tc>
        <w:tc>
          <w:tcPr>
            <w:tcW w:w="1312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81.00</w:t>
            </w:r>
          </w:p>
        </w:tc>
        <w:tc>
          <w:tcPr>
            <w:tcW w:w="1800" w:type="dxa"/>
          </w:tcPr>
          <w:p w:rsidR="00514C74" w:rsidRDefault="00514C74" w:rsidP="00514C74">
            <w:pPr>
              <w:jc w:val="center"/>
              <w:rPr>
                <w:b/>
              </w:rPr>
            </w:pPr>
            <w:r>
              <w:rPr>
                <w:b/>
              </w:rPr>
              <w:t>$486.00</w:t>
            </w:r>
          </w:p>
        </w:tc>
      </w:tr>
      <w:tr w:rsidR="00514C74" w:rsidTr="00514C74">
        <w:tc>
          <w:tcPr>
            <w:tcW w:w="2018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312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14C74" w:rsidRDefault="00514C74" w:rsidP="00514C74">
            <w:pPr>
              <w:tabs>
                <w:tab w:val="left" w:pos="345"/>
              </w:tabs>
              <w:rPr>
                <w:b/>
              </w:rPr>
            </w:pPr>
            <w:r>
              <w:rPr>
                <w:b/>
              </w:rPr>
              <w:t>Total Price: $ 6733.00</w:t>
            </w:r>
          </w:p>
        </w:tc>
      </w:tr>
      <w:tr w:rsidR="00514C74" w:rsidTr="00514C74">
        <w:tc>
          <w:tcPr>
            <w:tcW w:w="2018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312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14C74" w:rsidRDefault="00514C74" w:rsidP="00514C74">
            <w:pPr>
              <w:tabs>
                <w:tab w:val="left" w:pos="345"/>
              </w:tabs>
              <w:rPr>
                <w:b/>
              </w:rPr>
            </w:pPr>
            <w:r>
              <w:rPr>
                <w:b/>
              </w:rPr>
              <w:t>Shipping:    $ 40.17</w:t>
            </w:r>
          </w:p>
        </w:tc>
      </w:tr>
      <w:tr w:rsidR="00514C74" w:rsidTr="00514C74">
        <w:trPr>
          <w:trHeight w:val="70"/>
        </w:trPr>
        <w:tc>
          <w:tcPr>
            <w:tcW w:w="2018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312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14C74" w:rsidRDefault="00514C74" w:rsidP="00514C74">
            <w:pPr>
              <w:tabs>
                <w:tab w:val="left" w:pos="345"/>
              </w:tabs>
              <w:rPr>
                <w:b/>
              </w:rPr>
            </w:pPr>
            <w:r>
              <w:rPr>
                <w:b/>
              </w:rPr>
              <w:t>Estimated Tax: $437.65</w:t>
            </w:r>
          </w:p>
        </w:tc>
      </w:tr>
      <w:tr w:rsidR="00514C74" w:rsidTr="00514C74">
        <w:tc>
          <w:tcPr>
            <w:tcW w:w="2018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312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:rsidR="00514C74" w:rsidRDefault="00514C74" w:rsidP="00514C7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F0000"/>
          </w:tcPr>
          <w:p w:rsidR="00514C74" w:rsidRDefault="00514C74" w:rsidP="00514C74">
            <w:pPr>
              <w:tabs>
                <w:tab w:val="left" w:pos="345"/>
              </w:tabs>
              <w:rPr>
                <w:b/>
              </w:rPr>
            </w:pPr>
            <w:r>
              <w:rPr>
                <w:b/>
              </w:rPr>
              <w:t>Total: $7210.82</w:t>
            </w:r>
          </w:p>
        </w:tc>
      </w:tr>
    </w:tbl>
    <w:p w:rsidR="00514C74" w:rsidRDefault="00514C74" w:rsidP="00514C74">
      <w:pPr>
        <w:jc w:val="center"/>
        <w:rPr>
          <w:b/>
        </w:rPr>
      </w:pPr>
    </w:p>
    <w:p w:rsidR="00EA4441" w:rsidRDefault="00EA4441" w:rsidP="00BB4C08">
      <w:pPr>
        <w:rPr>
          <w:b/>
        </w:rPr>
      </w:pPr>
      <w:r>
        <w:rPr>
          <w:b/>
        </w:rPr>
        <w:t>Goal 5:  Purchase</w:t>
      </w:r>
      <w:r w:rsidR="007B5CE9">
        <w:rPr>
          <w:b/>
        </w:rPr>
        <w:t xml:space="preserve"> a set of scientific</w:t>
      </w:r>
      <w:r>
        <w:rPr>
          <w:b/>
        </w:rPr>
        <w:t xml:space="preserve"> calcu</w:t>
      </w:r>
      <w:r w:rsidR="00514C74">
        <w:rPr>
          <w:b/>
        </w:rPr>
        <w:t xml:space="preserve">lators for the math department for student </w:t>
      </w:r>
      <w:r w:rsidR="007B5CE9">
        <w:rPr>
          <w:b/>
        </w:rPr>
        <w:t xml:space="preserve">use. </w:t>
      </w:r>
    </w:p>
    <w:p w:rsidR="007B5CE9" w:rsidRDefault="00EA4441" w:rsidP="00BB4C08">
      <w:pPr>
        <w:rPr>
          <w:b/>
        </w:rPr>
      </w:pPr>
      <w:r>
        <w:rPr>
          <w:b/>
        </w:rPr>
        <w:t>Objective:</w:t>
      </w:r>
      <w:r w:rsidR="007B5CE9">
        <w:rPr>
          <w:b/>
        </w:rPr>
        <w:t xml:space="preserve"> </w:t>
      </w:r>
    </w:p>
    <w:p w:rsidR="007B5CE9" w:rsidRPr="00514C74" w:rsidRDefault="007B5CE9" w:rsidP="007B5CE9">
      <w:pPr>
        <w:pStyle w:val="ListParagraph"/>
        <w:numPr>
          <w:ilvl w:val="0"/>
          <w:numId w:val="28"/>
        </w:numPr>
      </w:pPr>
      <w:r w:rsidRPr="00514C74">
        <w:t xml:space="preserve">Provide departmental approved calculators to students for use in the classroom </w:t>
      </w:r>
      <w:r w:rsidR="00514C74" w:rsidRPr="00514C74">
        <w:t>when they do not have calculators that meet specifications.</w:t>
      </w:r>
    </w:p>
    <w:p w:rsidR="00514C74" w:rsidRDefault="00514C74" w:rsidP="00BB4C08">
      <w:pPr>
        <w:rPr>
          <w:b/>
        </w:rPr>
      </w:pPr>
      <w:r>
        <w:rPr>
          <w:b/>
        </w:rPr>
        <w:t>Method of Assessment:</w:t>
      </w:r>
    </w:p>
    <w:p w:rsidR="00514C74" w:rsidRDefault="00514C74" w:rsidP="00514C74">
      <w:pPr>
        <w:pStyle w:val="ListParagraph"/>
        <w:numPr>
          <w:ilvl w:val="0"/>
          <w:numId w:val="30"/>
        </w:numPr>
      </w:pPr>
      <w:r>
        <w:t xml:space="preserve">Instructors will be required to check out calculators from the office manager and she will approve and manage distribution and return of the equipment. </w:t>
      </w:r>
    </w:p>
    <w:p w:rsidR="00514C74" w:rsidRDefault="00514C74" w:rsidP="00514C74">
      <w:pPr>
        <w:rPr>
          <w:b/>
        </w:rPr>
      </w:pPr>
      <w:r w:rsidRPr="00514C74">
        <w:rPr>
          <w:b/>
        </w:rPr>
        <w:t>Additional Funding Request</w:t>
      </w:r>
      <w:r>
        <w:rPr>
          <w:b/>
        </w:rPr>
        <w:t>:</w:t>
      </w:r>
    </w:p>
    <w:p w:rsidR="00514C74" w:rsidRPr="00514C74" w:rsidRDefault="00514C74" w:rsidP="00514C74">
      <w:pPr>
        <w:pStyle w:val="ListParagraph"/>
        <w:numPr>
          <w:ilvl w:val="0"/>
          <w:numId w:val="32"/>
        </w:numPr>
      </w:pPr>
      <w:r w:rsidRPr="00514C74">
        <w:t xml:space="preserve">TI30XA (QTY- 20) and TI30XIIS (QTY -20) </w:t>
      </w:r>
    </w:p>
    <w:p w:rsidR="00514C74" w:rsidRPr="00514C74" w:rsidRDefault="00514C74" w:rsidP="00514C74">
      <w:pPr>
        <w:pStyle w:val="ListParagraph"/>
      </w:pPr>
      <w:r w:rsidRPr="00514C74">
        <w:rPr>
          <w:highlight w:val="red"/>
        </w:rPr>
        <w:t>Total: $439.00</w:t>
      </w:r>
    </w:p>
    <w:p w:rsidR="00514C74" w:rsidRDefault="00514C74" w:rsidP="00EA4441">
      <w:pPr>
        <w:widowControl w:val="0"/>
        <w:spacing w:after="0" w:line="240" w:lineRule="auto"/>
        <w:ind w:right="143"/>
        <w:rPr>
          <w:rFonts w:ascii="Calibri" w:eastAsia="Calibri" w:hAnsi="Calibri" w:cs="Calibri"/>
          <w:b/>
          <w:bCs/>
          <w:noProof/>
        </w:rPr>
      </w:pPr>
    </w:p>
    <w:p w:rsidR="00EA4441" w:rsidRPr="00EA4441" w:rsidRDefault="00EA4441" w:rsidP="00EA4441">
      <w:pPr>
        <w:widowControl w:val="0"/>
        <w:spacing w:after="0" w:line="240" w:lineRule="auto"/>
        <w:ind w:right="143"/>
        <w:rPr>
          <w:rFonts w:ascii="Calibri" w:eastAsia="Calibri" w:hAnsi="Calibri" w:cs="Calibri"/>
        </w:rPr>
      </w:pPr>
      <w:r w:rsidRPr="00EA4441">
        <w:rPr>
          <w:rFonts w:ascii="Calibri" w:eastAsia="Calibri" w:hAnsi="Calibri" w:cs="Calibri"/>
          <w:b/>
          <w:bCs/>
          <w:noProof/>
        </w:rPr>
        <w:t>Goal</w:t>
      </w:r>
      <w:r w:rsidRPr="00EA444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 w:rsidRPr="00EA4441">
        <w:rPr>
          <w:rFonts w:ascii="Calibri" w:eastAsia="Calibri" w:hAnsi="Calibri" w:cs="Calibri"/>
          <w:b/>
          <w:bCs/>
        </w:rPr>
        <w:t xml:space="preserve">:  Enhance the teaching and learning </w:t>
      </w:r>
      <w:r w:rsidRPr="00EA4441">
        <w:rPr>
          <w:rFonts w:ascii="Calibri" w:eastAsia="Calibri" w:hAnsi="Calibri" w:cs="Calibri"/>
          <w:b/>
          <w:bCs/>
          <w:noProof/>
        </w:rPr>
        <w:t>process</w:t>
      </w:r>
      <w:r w:rsidRPr="00EA4441">
        <w:rPr>
          <w:rFonts w:ascii="Calibri" w:eastAsia="Calibri" w:hAnsi="Calibri" w:cs="Calibri"/>
          <w:b/>
          <w:bCs/>
        </w:rPr>
        <w:t xml:space="preserve"> for math students through the purchase of new technology.</w:t>
      </w:r>
    </w:p>
    <w:p w:rsidR="00EA4441" w:rsidRPr="00EA4441" w:rsidRDefault="00EA4441" w:rsidP="00EA4441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19"/>
          <w:szCs w:val="19"/>
        </w:rPr>
      </w:pPr>
    </w:p>
    <w:p w:rsidR="00EA4441" w:rsidRPr="00EA4441" w:rsidRDefault="00EA4441" w:rsidP="00EA4441">
      <w:pPr>
        <w:ind w:left="360"/>
        <w:contextualSpacing/>
        <w:rPr>
          <w:b/>
        </w:rPr>
      </w:pPr>
      <w:r w:rsidRPr="00EA4441">
        <w:rPr>
          <w:b/>
        </w:rPr>
        <w:t xml:space="preserve">Objective: </w:t>
      </w:r>
    </w:p>
    <w:p w:rsidR="00EA4441" w:rsidRPr="00EA4441" w:rsidRDefault="00EA4441" w:rsidP="00EA4441">
      <w:pPr>
        <w:widowControl w:val="0"/>
        <w:numPr>
          <w:ilvl w:val="0"/>
          <w:numId w:val="24"/>
        </w:numPr>
        <w:spacing w:after="0" w:line="240" w:lineRule="auto"/>
        <w:contextualSpacing/>
      </w:pPr>
      <w:r>
        <w:rPr>
          <w:noProof/>
        </w:rPr>
        <w:t xml:space="preserve"> </w:t>
      </w:r>
      <w:r w:rsidRPr="00EA4441">
        <w:rPr>
          <w:noProof/>
        </w:rPr>
        <w:t>Improve methods of formal and ad hoc classroom lecture recordings.</w:t>
      </w:r>
    </w:p>
    <w:p w:rsidR="00EA4441" w:rsidRPr="00EA4441" w:rsidRDefault="00EA4441" w:rsidP="00EA4441">
      <w:pPr>
        <w:widowControl w:val="0"/>
        <w:numPr>
          <w:ilvl w:val="0"/>
          <w:numId w:val="24"/>
        </w:numPr>
        <w:spacing w:after="0" w:line="240" w:lineRule="auto"/>
        <w:contextualSpacing/>
      </w:pPr>
      <w:r>
        <w:t xml:space="preserve"> </w:t>
      </w:r>
      <w:r w:rsidRPr="00EA4441">
        <w:t>Establish a High Definition library that would serve as online tutorials for all math students.</w:t>
      </w:r>
    </w:p>
    <w:p w:rsidR="00EA4441" w:rsidRDefault="00EA4441" w:rsidP="00EA4441">
      <w:pPr>
        <w:ind w:left="360"/>
        <w:contextualSpacing/>
        <w:rPr>
          <w:b/>
        </w:rPr>
      </w:pPr>
    </w:p>
    <w:p w:rsidR="00EA4441" w:rsidRPr="00EA4441" w:rsidRDefault="00EA4441" w:rsidP="00EA4441">
      <w:pPr>
        <w:ind w:left="360"/>
        <w:contextualSpacing/>
        <w:rPr>
          <w:b/>
        </w:rPr>
      </w:pPr>
      <w:r w:rsidRPr="00EA4441">
        <w:rPr>
          <w:b/>
        </w:rPr>
        <w:t>Method of Assessment:</w:t>
      </w:r>
    </w:p>
    <w:p w:rsidR="00EA4441" w:rsidRPr="00EA4441" w:rsidRDefault="00EA4441" w:rsidP="00EA4441">
      <w:pPr>
        <w:ind w:left="360"/>
        <w:contextualSpacing/>
      </w:pPr>
      <w:r w:rsidRPr="00EA4441">
        <w:t>Faculty and students would provide qualitative feedback about their experiences using the technology both in and out of the cla</w:t>
      </w:r>
      <w:r w:rsidR="007B5CE9">
        <w:t>ssroom.  Quantitative data will</w:t>
      </w:r>
      <w:r w:rsidRPr="00EA4441">
        <w:t xml:space="preserve"> be obtained by conducting a pilot study </w:t>
      </w:r>
      <w:r w:rsidRPr="00EA4441">
        <w:rPr>
          <w:noProof/>
        </w:rPr>
        <w:t>that</w:t>
      </w:r>
      <w:r w:rsidRPr="00EA4441">
        <w:t xml:space="preserve"> compared students who accessed and used the online tutorials versus those that did not use the online tutorials as supplemental instruction. </w:t>
      </w:r>
    </w:p>
    <w:p w:rsidR="00EA4441" w:rsidRPr="00EA4441" w:rsidRDefault="00EA4441" w:rsidP="00EA4441">
      <w:pPr>
        <w:tabs>
          <w:tab w:val="left" w:pos="2445"/>
        </w:tabs>
        <w:ind w:firstLine="360"/>
        <w:contextualSpacing/>
        <w:rPr>
          <w:b/>
        </w:rPr>
      </w:pPr>
      <w:r w:rsidRPr="00EA4441">
        <w:rPr>
          <w:b/>
        </w:rPr>
        <w:tab/>
      </w:r>
    </w:p>
    <w:p w:rsidR="00514C74" w:rsidRDefault="00514C74" w:rsidP="00EA4441">
      <w:pPr>
        <w:ind w:left="360"/>
        <w:contextualSpacing/>
        <w:rPr>
          <w:b/>
          <w:noProof/>
        </w:rPr>
      </w:pPr>
    </w:p>
    <w:p w:rsidR="00514C74" w:rsidRDefault="00514C74" w:rsidP="00EA4441">
      <w:pPr>
        <w:ind w:left="360"/>
        <w:contextualSpacing/>
        <w:rPr>
          <w:b/>
          <w:noProof/>
        </w:rPr>
      </w:pPr>
    </w:p>
    <w:p w:rsidR="00514C74" w:rsidRDefault="00514C74" w:rsidP="00EA4441">
      <w:pPr>
        <w:ind w:left="360"/>
        <w:contextualSpacing/>
        <w:rPr>
          <w:b/>
          <w:noProof/>
        </w:rPr>
      </w:pPr>
    </w:p>
    <w:p w:rsidR="00EA4441" w:rsidRPr="00EA4441" w:rsidRDefault="00EA4441" w:rsidP="00EA4441">
      <w:pPr>
        <w:ind w:left="360"/>
        <w:contextualSpacing/>
        <w:rPr>
          <w:b/>
          <w:noProof/>
        </w:rPr>
      </w:pPr>
      <w:r w:rsidRPr="00EA4441">
        <w:rPr>
          <w:b/>
          <w:noProof/>
        </w:rPr>
        <w:t>Additional Funds Requested</w:t>
      </w:r>
    </w:p>
    <w:p w:rsidR="00EA4441" w:rsidRPr="00EA4441" w:rsidRDefault="00EA4441" w:rsidP="00EA4441">
      <w:pPr>
        <w:ind w:left="360"/>
        <w:contextualSpacing/>
      </w:pPr>
      <w:r w:rsidRPr="00EA4441">
        <w:rPr>
          <w:noProof/>
        </w:rPr>
        <w:t>Math faculty have requested the purchase of Apple I-pads, Berm Kickstand Portable Projector, and associated applications.</w:t>
      </w:r>
    </w:p>
    <w:p w:rsidR="00EA4441" w:rsidRPr="00EA4441" w:rsidRDefault="00EA4441" w:rsidP="00EA4441">
      <w:pPr>
        <w:widowControl w:val="0"/>
        <w:numPr>
          <w:ilvl w:val="1"/>
          <w:numId w:val="24"/>
        </w:numPr>
        <w:spacing w:after="0" w:line="240" w:lineRule="auto"/>
        <w:ind w:left="120" w:firstLine="960"/>
        <w:contextualSpacing/>
      </w:pPr>
      <w:r w:rsidRPr="00EA4441">
        <w:rPr>
          <w:rFonts w:cs="Times New Roman"/>
          <w:sz w:val="24"/>
          <w:szCs w:val="24"/>
        </w:rPr>
        <w:t>Apple IPad Air 2 128GB - $699</w:t>
      </w:r>
    </w:p>
    <w:p w:rsidR="00EA4441" w:rsidRPr="00EA4441" w:rsidRDefault="00EA4441" w:rsidP="00EA4441">
      <w:pPr>
        <w:widowControl w:val="0"/>
        <w:numPr>
          <w:ilvl w:val="1"/>
          <w:numId w:val="2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A4441">
        <w:rPr>
          <w:rFonts w:cs="Times New Roman"/>
          <w:sz w:val="24"/>
          <w:szCs w:val="24"/>
        </w:rPr>
        <w:t xml:space="preserve">Bēm Kickstand Portable Projector  - $499.95 </w:t>
      </w:r>
    </w:p>
    <w:p w:rsidR="00EA4441" w:rsidRPr="00EA4441" w:rsidRDefault="00EA4441" w:rsidP="00EA4441">
      <w:pPr>
        <w:widowControl w:val="0"/>
        <w:numPr>
          <w:ilvl w:val="1"/>
          <w:numId w:val="2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A4441">
        <w:rPr>
          <w:rFonts w:cs="Times New Roman"/>
          <w:sz w:val="24"/>
          <w:szCs w:val="24"/>
        </w:rPr>
        <w:t>Presentation Recorder App  - $3.99</w:t>
      </w:r>
    </w:p>
    <w:p w:rsidR="00EA4441" w:rsidRPr="00EA4441" w:rsidRDefault="00EA4441" w:rsidP="00EA4441">
      <w:pPr>
        <w:widowControl w:val="0"/>
        <w:numPr>
          <w:ilvl w:val="1"/>
          <w:numId w:val="2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A4441">
        <w:rPr>
          <w:rFonts w:cs="Times New Roman"/>
          <w:sz w:val="24"/>
          <w:szCs w:val="24"/>
        </w:rPr>
        <w:t>UPAD App - $4.99</w:t>
      </w:r>
    </w:p>
    <w:p w:rsidR="00EA4441" w:rsidRPr="00EA4441" w:rsidRDefault="00EA4441" w:rsidP="00EA4441">
      <w:pPr>
        <w:widowControl w:val="0"/>
        <w:numPr>
          <w:ilvl w:val="1"/>
          <w:numId w:val="2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A4441">
        <w:rPr>
          <w:rFonts w:cs="Times New Roman"/>
          <w:sz w:val="24"/>
          <w:szCs w:val="24"/>
        </w:rPr>
        <w:t xml:space="preserve">Educreations App = $99 </w:t>
      </w:r>
    </w:p>
    <w:p w:rsidR="00EA4441" w:rsidRPr="00EA4441" w:rsidRDefault="00EA4441" w:rsidP="00EA4441">
      <w:pPr>
        <w:widowControl w:val="0"/>
        <w:numPr>
          <w:ilvl w:val="1"/>
          <w:numId w:val="24"/>
        </w:num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EA4441">
        <w:rPr>
          <w:rFonts w:cs="Times New Roman"/>
          <w:sz w:val="24"/>
          <w:szCs w:val="24"/>
        </w:rPr>
        <w:t xml:space="preserve">Total $1,306.93 X 8 = </w:t>
      </w:r>
      <w:r w:rsidRPr="00514C74">
        <w:rPr>
          <w:rFonts w:cs="Times New Roman"/>
          <w:b/>
          <w:sz w:val="24"/>
          <w:szCs w:val="24"/>
          <w:highlight w:val="red"/>
        </w:rPr>
        <w:t>$10,455.44</w:t>
      </w:r>
    </w:p>
    <w:p w:rsidR="00EA4441" w:rsidRPr="00EA4441" w:rsidRDefault="00EA4441" w:rsidP="00EA4441">
      <w:pPr>
        <w:widowControl w:val="0"/>
        <w:spacing w:after="0" w:line="240" w:lineRule="auto"/>
        <w:ind w:left="450"/>
        <w:rPr>
          <w:rFonts w:ascii="Calibri" w:eastAsia="Calibri" w:hAnsi="Calibri" w:cs="Calibri"/>
        </w:rPr>
      </w:pPr>
      <w:r w:rsidRPr="00EA4441">
        <w:rPr>
          <w:rFonts w:ascii="Calibri" w:eastAsia="Calibri" w:hAnsi="Calibri" w:cs="Calibri"/>
        </w:rPr>
        <w:t xml:space="preserve">  </w:t>
      </w:r>
    </w:p>
    <w:p w:rsidR="00EA4441" w:rsidRPr="00514C74" w:rsidRDefault="00EA4441" w:rsidP="00514C74">
      <w:pPr>
        <w:widowControl w:val="0"/>
        <w:spacing w:after="0" w:line="240" w:lineRule="auto"/>
        <w:ind w:left="450"/>
        <w:rPr>
          <w:rFonts w:ascii="Calibri" w:eastAsia="Calibri" w:hAnsi="Calibri" w:cs="Calibri"/>
        </w:rPr>
      </w:pPr>
      <w:r w:rsidRPr="00EA4441">
        <w:rPr>
          <w:rFonts w:ascii="Calibri" w:eastAsia="Calibri" w:hAnsi="Calibri" w:cs="Calibri"/>
        </w:rPr>
        <w:t>By providing students with an external supplemental resource they can receive additional support that will help</w:t>
      </w:r>
      <w:r>
        <w:rPr>
          <w:rFonts w:ascii="Calibri" w:eastAsia="Calibri" w:hAnsi="Calibri" w:cs="Calibri"/>
        </w:rPr>
        <w:t xml:space="preserve"> students </w:t>
      </w:r>
      <w:r w:rsidRPr="00EA4441">
        <w:rPr>
          <w:rFonts w:ascii="Calibri" w:eastAsia="Calibri" w:hAnsi="Calibri" w:cs="Calibri"/>
        </w:rPr>
        <w:t>acquire math content knowledge.</w:t>
      </w:r>
      <w:r w:rsidR="00514C74">
        <w:rPr>
          <w:rFonts w:ascii="Calibri" w:eastAsia="Calibri" w:hAnsi="Calibri" w:cs="Calibri"/>
        </w:rPr>
        <w:t xml:space="preserve"> </w:t>
      </w:r>
    </w:p>
    <w:p w:rsidR="00EA4441" w:rsidRDefault="00EA4441" w:rsidP="00BB4C08">
      <w:pPr>
        <w:rPr>
          <w:b/>
        </w:rPr>
      </w:pPr>
    </w:p>
    <w:p w:rsidR="009F5A64" w:rsidRDefault="009F5A64" w:rsidP="00BB4C08">
      <w:pPr>
        <w:rPr>
          <w:b/>
        </w:rPr>
      </w:pPr>
      <w:r>
        <w:rPr>
          <w:b/>
        </w:rPr>
        <w:t xml:space="preserve">Goal </w:t>
      </w:r>
      <w:r w:rsidR="00EA4441">
        <w:rPr>
          <w:b/>
        </w:rPr>
        <w:t>3</w:t>
      </w:r>
      <w:r>
        <w:rPr>
          <w:b/>
        </w:rPr>
        <w:t xml:space="preserve">: </w:t>
      </w:r>
      <w:r w:rsidR="00EA4441">
        <w:rPr>
          <w:b/>
        </w:rPr>
        <w:t>Offer Physics courses on the Shelby campus.</w:t>
      </w:r>
    </w:p>
    <w:p w:rsidR="009F5A64" w:rsidRDefault="009F5A64" w:rsidP="009F5A64">
      <w:pPr>
        <w:pStyle w:val="ListParagraph"/>
        <w:numPr>
          <w:ilvl w:val="0"/>
          <w:numId w:val="9"/>
        </w:numPr>
        <w:rPr>
          <w:b/>
        </w:rPr>
      </w:pPr>
      <w:r w:rsidRPr="009F5A64">
        <w:rPr>
          <w:b/>
        </w:rPr>
        <w:t xml:space="preserve"> Objectives</w:t>
      </w:r>
      <w:r>
        <w:rPr>
          <w:b/>
        </w:rPr>
        <w:t xml:space="preserve">   </w:t>
      </w:r>
    </w:p>
    <w:p w:rsidR="009F5A64" w:rsidRPr="00EA4441" w:rsidRDefault="00EA4441" w:rsidP="009F5A64">
      <w:pPr>
        <w:pStyle w:val="ListParagraph"/>
        <w:numPr>
          <w:ilvl w:val="0"/>
          <w:numId w:val="10"/>
        </w:numPr>
      </w:pPr>
      <w:r>
        <w:t xml:space="preserve">Upgrade the Physical Science laboratory (room 115) in the Math and Science building in an effort to begin offering Physics classes at the Shelby </w:t>
      </w:r>
      <w:r w:rsidR="00514C74">
        <w:t xml:space="preserve">campus. </w:t>
      </w:r>
    </w:p>
    <w:p w:rsidR="00F42E2A" w:rsidRPr="00514C74" w:rsidRDefault="00055C5D" w:rsidP="00055C5D">
      <w:pPr>
        <w:pStyle w:val="ListParagraph"/>
        <w:numPr>
          <w:ilvl w:val="0"/>
          <w:numId w:val="10"/>
        </w:numPr>
      </w:pPr>
      <w:r w:rsidRPr="00EA4441">
        <w:t>Purchase</w:t>
      </w:r>
      <w:r w:rsidR="00EB561E" w:rsidRPr="00EA4441">
        <w:t xml:space="preserve"> </w:t>
      </w:r>
      <w:r w:rsidR="00EA4441" w:rsidRPr="00EA4441">
        <w:t xml:space="preserve">equipment </w:t>
      </w:r>
      <w:r w:rsidR="00EB561E" w:rsidRPr="00EA4441">
        <w:t xml:space="preserve"> from Vernier</w:t>
      </w:r>
    </w:p>
    <w:p w:rsidR="0042732E" w:rsidRDefault="0042732E" w:rsidP="0042732E">
      <w:pPr>
        <w:pStyle w:val="ListParagraph"/>
        <w:numPr>
          <w:ilvl w:val="0"/>
          <w:numId w:val="9"/>
        </w:numPr>
        <w:rPr>
          <w:b/>
        </w:rPr>
      </w:pPr>
      <w:r w:rsidRPr="0042732E">
        <w:rPr>
          <w:b/>
        </w:rPr>
        <w:t xml:space="preserve">Method of Assessment </w:t>
      </w:r>
    </w:p>
    <w:p w:rsidR="0042732E" w:rsidRPr="00EA4441" w:rsidRDefault="0042732E" w:rsidP="0042732E">
      <w:pPr>
        <w:pStyle w:val="ListParagraph"/>
        <w:numPr>
          <w:ilvl w:val="0"/>
          <w:numId w:val="11"/>
        </w:numPr>
      </w:pPr>
      <w:r w:rsidRPr="00EA4441">
        <w:t xml:space="preserve"> Coordinate with the Dean of Legal Services and Buildings to </w:t>
      </w:r>
      <w:r w:rsidR="00EA4441" w:rsidRPr="00EA4441">
        <w:t xml:space="preserve">provide the necessary modifications to the lab space conducive for a quality physics lab. </w:t>
      </w:r>
    </w:p>
    <w:p w:rsidR="0042732E" w:rsidRPr="00EA4441" w:rsidRDefault="0042732E" w:rsidP="0042732E">
      <w:pPr>
        <w:pStyle w:val="ListParagraph"/>
        <w:numPr>
          <w:ilvl w:val="0"/>
          <w:numId w:val="11"/>
        </w:numPr>
      </w:pPr>
      <w:r w:rsidRPr="00EA4441">
        <w:t>Monitor the purchase and installation of equipment, while also obtaining feedback from the faculty using the equipment for instruction.</w:t>
      </w:r>
    </w:p>
    <w:p w:rsidR="00EA4441" w:rsidRPr="00EA4441" w:rsidRDefault="00EA4441" w:rsidP="00EA4441">
      <w:pPr>
        <w:pStyle w:val="ListParagraph"/>
        <w:ind w:left="1080"/>
      </w:pPr>
    </w:p>
    <w:p w:rsidR="002259B2" w:rsidRDefault="002259B2" w:rsidP="00246071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w:r w:rsidRPr="00EA4441">
        <w:rPr>
          <w:rFonts w:eastAsiaTheme="minorEastAsia"/>
          <w:b/>
        </w:rPr>
        <w:t>Additional Funding Requests</w:t>
      </w:r>
    </w:p>
    <w:p w:rsidR="00514C74" w:rsidRPr="00514C74" w:rsidRDefault="00514C74" w:rsidP="00514C74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514C74">
        <w:rPr>
          <w:rFonts w:eastAsiaTheme="minorEastAsia"/>
        </w:rPr>
        <w:t>Computer Stations: 8 computer stations requested. Old computers would be acceptable with new computers being purchased only if necessary. (Funding request pending)</w:t>
      </w:r>
    </w:p>
    <w:p w:rsidR="00EA4441" w:rsidRPr="00514C74" w:rsidRDefault="00EA4441" w:rsidP="00EA4441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514C74">
        <w:rPr>
          <w:rFonts w:eastAsiaTheme="minorEastAsia"/>
        </w:rPr>
        <w:t>The itemized list below contains the equipment necessary for one station. Eight stations will be needed for instruction</w:t>
      </w:r>
    </w:p>
    <w:p w:rsidR="00EA4441" w:rsidRPr="00514C74" w:rsidRDefault="00EA4441" w:rsidP="00EA4441">
      <w:pPr>
        <w:pStyle w:val="ListParagraph"/>
        <w:numPr>
          <w:ilvl w:val="1"/>
          <w:numId w:val="23"/>
        </w:numPr>
        <w:rPr>
          <w:rFonts w:eastAsiaTheme="minorEastAsia"/>
        </w:rPr>
      </w:pPr>
      <w:r w:rsidRPr="00514C74">
        <w:rPr>
          <w:rFonts w:eastAsiaTheme="minorEastAsia"/>
        </w:rPr>
        <w:t xml:space="preserve">Total Cost: $1064 X 8 = </w:t>
      </w:r>
      <w:r w:rsidRPr="00514C74">
        <w:rPr>
          <w:rFonts w:eastAsiaTheme="minorEastAsia"/>
          <w:highlight w:val="red"/>
        </w:rPr>
        <w:t>$8,512.00</w:t>
      </w:r>
    </w:p>
    <w:tbl>
      <w:tblPr>
        <w:tblW w:w="15548" w:type="dxa"/>
        <w:tblInd w:w="-1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  <w:gridCol w:w="77"/>
        <w:gridCol w:w="77"/>
        <w:gridCol w:w="76"/>
        <w:gridCol w:w="76"/>
        <w:gridCol w:w="76"/>
        <w:gridCol w:w="76"/>
      </w:tblGrid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pPr w:leftFromText="180" w:rightFromText="180" w:vertAnchor="text" w:horzAnchor="page" w:tblpX="3151" w:tblpY="16"/>
              <w:tblOverlap w:val="never"/>
              <w:tblW w:w="0" w:type="auto"/>
              <w:tblCellSpacing w:w="15" w:type="dxa"/>
              <w:tblBorders>
                <w:bottom w:val="single" w:sz="6" w:space="0" w:color="E2E2E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654"/>
              <w:gridCol w:w="1669"/>
            </w:tblGrid>
            <w:tr w:rsidR="00EA4441" w:rsidRPr="002C1777" w:rsidTr="00EA444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2E2E2"/>
                  </w:tcBorders>
                  <w:shd w:val="clear" w:color="auto" w:fill="005D60"/>
                  <w:tcMar>
                    <w:top w:w="135" w:type="dxa"/>
                    <w:left w:w="195" w:type="dxa"/>
                    <w:bottom w:w="135" w:type="dxa"/>
                    <w:right w:w="195" w:type="dxa"/>
                  </w:tcMar>
                  <w:vAlign w:val="bottom"/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Interface and Sensors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2E2E2"/>
                  </w:tcBorders>
                  <w:shd w:val="clear" w:color="auto" w:fill="005D60"/>
                  <w:tcMar>
                    <w:top w:w="135" w:type="dxa"/>
                    <w:left w:w="195" w:type="dxa"/>
                    <w:bottom w:w="135" w:type="dxa"/>
                    <w:right w:w="195" w:type="dxa"/>
                  </w:tcMar>
                  <w:vAlign w:val="bottom"/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Order Code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2E2E2"/>
                  </w:tcBorders>
                  <w:shd w:val="clear" w:color="auto" w:fill="005D60"/>
                  <w:tcMar>
                    <w:top w:w="135" w:type="dxa"/>
                    <w:left w:w="195" w:type="dxa"/>
                    <w:bottom w:w="135" w:type="dxa"/>
                    <w:right w:w="195" w:type="dxa"/>
                  </w:tcMar>
                  <w:vAlign w:val="bottom"/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Deluxe</w:t>
                  </w:r>
                  <w:r w:rsidRPr="002C17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br/>
                  </w:r>
                  <w:r w:rsidRPr="002C17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LQ2-PHY-DX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LabQuest 2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LABQ2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$329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Motion Detector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MD-BTD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$79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Dual-Range Force Sensor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DFS-BTA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$109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Microphone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MCA-BTA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$39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Differential Voltage Probe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DVP-BTA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x $39 = </w:t>
                  </w: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$78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Low-g Accelerometer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LGA-BTA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$89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Light Sensor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LS-BTA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$55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Photogate</w:t>
                    </w:r>
                  </w:hyperlink>
                  <w:r w:rsidR="00EA4441"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VPG-BTD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x $45 = </w:t>
                  </w: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$90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Ultra Pulley Attachment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$24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Picket Fence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Stainless Steel Temperature Probe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TMP-BTA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$29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Magnetic Field Sensor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MG-BTA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$58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FA2E8A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EA4441" w:rsidRPr="002C17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Current Probe</w:t>
                    </w:r>
                  </w:hyperlink>
                  <w:r w:rsidR="00EA4441"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DCP-BTA</w:t>
                  </w: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single" w:sz="6" w:space="0" w:color="E2E2E2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x $39 = </w:t>
                  </w:r>
                  <w:r w:rsidRPr="002C17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$78</w:t>
                  </w:r>
                </w:p>
              </w:tc>
            </w:tr>
            <w:tr w:rsidR="00EA4441" w:rsidRPr="002C1777" w:rsidTr="00EA444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left w:val="single" w:sz="6" w:space="0" w:color="E2E2E2"/>
                    <w:bottom w:val="nil"/>
                  </w:tcBorders>
                  <w:tcMar>
                    <w:top w:w="45" w:type="dxa"/>
                    <w:left w:w="195" w:type="dxa"/>
                    <w:bottom w:w="45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E2E2E2"/>
                    <w:bottom w:val="nil"/>
                  </w:tcBorders>
                  <w:tcMar>
                    <w:top w:w="180" w:type="dxa"/>
                    <w:left w:w="195" w:type="dxa"/>
                    <w:bottom w:w="240" w:type="dxa"/>
                    <w:right w:w="195" w:type="dxa"/>
                  </w:tcMar>
                  <w:hideMark/>
                </w:tcPr>
                <w:p w:rsidR="00EA4441" w:rsidRPr="002C1777" w:rsidRDefault="00EA4441" w:rsidP="00EA44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7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$1,064</w:t>
                  </w:r>
                </w:p>
              </w:tc>
            </w:tr>
          </w:tbl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EA4441" w:rsidRDefault="00EA4441" w:rsidP="00EA4441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ind w:left="102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7B5CE9">
            <w:pPr>
              <w:widowControl w:val="0"/>
              <w:spacing w:after="0" w:line="240" w:lineRule="auto"/>
              <w:ind w:left="45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F42E2A" w:rsidTr="00EA44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Pr="00762472" w:rsidRDefault="00F42E2A" w:rsidP="00762472">
            <w:pPr>
              <w:rPr>
                <w:rFonts w:eastAsia="Times New Roman"/>
                <w:b/>
                <w:szCs w:val="20"/>
                <w:u w:val="singl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Pr="00762472" w:rsidRDefault="00F42E2A" w:rsidP="00762472">
            <w:pPr>
              <w:rPr>
                <w:rFonts w:eastAsia="Times New Roman"/>
                <w:b/>
                <w:szCs w:val="20"/>
                <w:u w:val="singl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2E2A" w:rsidRDefault="00F42E2A" w:rsidP="00EA44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42E2A" w:rsidRDefault="00F42E2A" w:rsidP="00F42E2A">
      <w:pPr>
        <w:ind w:left="720"/>
        <w:rPr>
          <w:b/>
        </w:rPr>
      </w:pPr>
    </w:p>
    <w:p w:rsidR="00F42E2A" w:rsidRPr="00F42E2A" w:rsidRDefault="00F42E2A" w:rsidP="00F42E2A">
      <w:pPr>
        <w:ind w:left="810"/>
        <w:rPr>
          <w:rFonts w:eastAsiaTheme="minorEastAsia"/>
          <w:b/>
        </w:rPr>
      </w:pPr>
    </w:p>
    <w:p w:rsidR="0078796A" w:rsidRDefault="00F42E2A" w:rsidP="0078796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:rsidR="0078796A" w:rsidRDefault="0078796A" w:rsidP="0078796A">
      <w:pPr>
        <w:rPr>
          <w:rFonts w:eastAsiaTheme="minorEastAsia"/>
          <w:b/>
        </w:rPr>
      </w:pPr>
    </w:p>
    <w:p w:rsidR="000B5E31" w:rsidRDefault="000B5E31" w:rsidP="002259B2">
      <w:pPr>
        <w:ind w:left="720"/>
        <w:rPr>
          <w:b/>
        </w:rPr>
      </w:pPr>
    </w:p>
    <w:sectPr w:rsidR="000B5E31" w:rsidSect="00EA4441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8A" w:rsidRDefault="00FA2E8A" w:rsidP="007D08A3">
      <w:pPr>
        <w:spacing w:after="0" w:line="240" w:lineRule="auto"/>
      </w:pPr>
      <w:r>
        <w:separator/>
      </w:r>
    </w:p>
  </w:endnote>
  <w:endnote w:type="continuationSeparator" w:id="0">
    <w:p w:rsidR="00FA2E8A" w:rsidRDefault="00FA2E8A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E9" w:rsidRDefault="007B5CE9" w:rsidP="007D08A3">
    <w:pPr>
      <w:pStyle w:val="Footer"/>
      <w:jc w:val="right"/>
    </w:pPr>
  </w:p>
  <w:p w:rsidR="007B5CE9" w:rsidRDefault="007B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8A" w:rsidRDefault="00FA2E8A" w:rsidP="007D08A3">
      <w:pPr>
        <w:spacing w:after="0" w:line="240" w:lineRule="auto"/>
      </w:pPr>
      <w:r>
        <w:separator/>
      </w:r>
    </w:p>
  </w:footnote>
  <w:footnote w:type="continuationSeparator" w:id="0">
    <w:p w:rsidR="00FA2E8A" w:rsidRDefault="00FA2E8A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4C2"/>
    <w:multiLevelType w:val="hybridMultilevel"/>
    <w:tmpl w:val="58D2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27E"/>
    <w:multiLevelType w:val="hybridMultilevel"/>
    <w:tmpl w:val="40EAB1C2"/>
    <w:lvl w:ilvl="0" w:tplc="7C6EFD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5F1"/>
    <w:multiLevelType w:val="hybridMultilevel"/>
    <w:tmpl w:val="50F41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9664A92"/>
    <w:multiLevelType w:val="hybridMultilevel"/>
    <w:tmpl w:val="F62468F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09E66F8E"/>
    <w:multiLevelType w:val="hybridMultilevel"/>
    <w:tmpl w:val="A0A8C100"/>
    <w:lvl w:ilvl="0" w:tplc="63CCE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3016"/>
    <w:multiLevelType w:val="hybridMultilevel"/>
    <w:tmpl w:val="4DE60874"/>
    <w:lvl w:ilvl="0" w:tplc="126402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800"/>
    <w:multiLevelType w:val="hybridMultilevel"/>
    <w:tmpl w:val="D72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D1720"/>
    <w:multiLevelType w:val="hybridMultilevel"/>
    <w:tmpl w:val="1D9EB83A"/>
    <w:lvl w:ilvl="0" w:tplc="3A2C08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F535E13"/>
    <w:multiLevelType w:val="hybridMultilevel"/>
    <w:tmpl w:val="C3EA9124"/>
    <w:lvl w:ilvl="0" w:tplc="88B2A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C75FD7"/>
    <w:multiLevelType w:val="hybridMultilevel"/>
    <w:tmpl w:val="3D06A242"/>
    <w:lvl w:ilvl="0" w:tplc="BD9A4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C21A1"/>
    <w:multiLevelType w:val="hybridMultilevel"/>
    <w:tmpl w:val="D0F4A6E8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44A62"/>
    <w:multiLevelType w:val="hybridMultilevel"/>
    <w:tmpl w:val="045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DC5"/>
    <w:multiLevelType w:val="hybridMultilevel"/>
    <w:tmpl w:val="7C78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69DB"/>
    <w:multiLevelType w:val="hybridMultilevel"/>
    <w:tmpl w:val="321CE56C"/>
    <w:lvl w:ilvl="0" w:tplc="6E3C6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613A1"/>
    <w:multiLevelType w:val="hybridMultilevel"/>
    <w:tmpl w:val="3722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174F5"/>
    <w:multiLevelType w:val="hybridMultilevel"/>
    <w:tmpl w:val="885EE0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4001A"/>
    <w:multiLevelType w:val="hybridMultilevel"/>
    <w:tmpl w:val="58D2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10AB6"/>
    <w:multiLevelType w:val="hybridMultilevel"/>
    <w:tmpl w:val="B376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938CF"/>
    <w:multiLevelType w:val="hybridMultilevel"/>
    <w:tmpl w:val="F4782E52"/>
    <w:lvl w:ilvl="0" w:tplc="33E2C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1647F"/>
    <w:multiLevelType w:val="hybridMultilevel"/>
    <w:tmpl w:val="6354FBCE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7038"/>
    <w:multiLevelType w:val="hybridMultilevel"/>
    <w:tmpl w:val="ED3EFE1E"/>
    <w:lvl w:ilvl="0" w:tplc="50565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37014"/>
    <w:multiLevelType w:val="hybridMultilevel"/>
    <w:tmpl w:val="FD44A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184B"/>
    <w:multiLevelType w:val="hybridMultilevel"/>
    <w:tmpl w:val="BA12B960"/>
    <w:lvl w:ilvl="0" w:tplc="3118CCF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CB4A34"/>
    <w:multiLevelType w:val="hybridMultilevel"/>
    <w:tmpl w:val="C17C576A"/>
    <w:lvl w:ilvl="0" w:tplc="47563B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E33612"/>
    <w:multiLevelType w:val="hybridMultilevel"/>
    <w:tmpl w:val="52ECBA92"/>
    <w:lvl w:ilvl="0" w:tplc="4920CA92">
      <w:start w:val="1"/>
      <w:numFmt w:val="lowerLetter"/>
      <w:lvlText w:val="%1."/>
      <w:lvlJc w:val="left"/>
      <w:pPr>
        <w:ind w:left="117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371E34"/>
    <w:multiLevelType w:val="hybridMultilevel"/>
    <w:tmpl w:val="ED3EFE1E"/>
    <w:lvl w:ilvl="0" w:tplc="50565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CF3945"/>
    <w:multiLevelType w:val="hybridMultilevel"/>
    <w:tmpl w:val="8210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7"/>
  </w:num>
  <w:num w:numId="5">
    <w:abstractNumId w:val="23"/>
  </w:num>
  <w:num w:numId="6">
    <w:abstractNumId w:val="31"/>
  </w:num>
  <w:num w:numId="7">
    <w:abstractNumId w:val="15"/>
  </w:num>
  <w:num w:numId="8">
    <w:abstractNumId w:val="8"/>
  </w:num>
  <w:num w:numId="9">
    <w:abstractNumId w:val="14"/>
  </w:num>
  <w:num w:numId="10">
    <w:abstractNumId w:val="25"/>
  </w:num>
  <w:num w:numId="11">
    <w:abstractNumId w:val="12"/>
  </w:num>
  <w:num w:numId="12">
    <w:abstractNumId w:val="10"/>
  </w:num>
  <w:num w:numId="13">
    <w:abstractNumId w:val="27"/>
  </w:num>
  <w:num w:numId="14">
    <w:abstractNumId w:val="18"/>
  </w:num>
  <w:num w:numId="15">
    <w:abstractNumId w:val="22"/>
  </w:num>
  <w:num w:numId="16">
    <w:abstractNumId w:val="2"/>
  </w:num>
  <w:num w:numId="17">
    <w:abstractNumId w:val="26"/>
  </w:num>
  <w:num w:numId="18">
    <w:abstractNumId w:val="13"/>
  </w:num>
  <w:num w:numId="19">
    <w:abstractNumId w:val="3"/>
  </w:num>
  <w:num w:numId="20">
    <w:abstractNumId w:val="29"/>
  </w:num>
  <w:num w:numId="21">
    <w:abstractNumId w:val="1"/>
  </w:num>
  <w:num w:numId="22">
    <w:abstractNumId w:val="30"/>
  </w:num>
  <w:num w:numId="23">
    <w:abstractNumId w:val="16"/>
  </w:num>
  <w:num w:numId="24">
    <w:abstractNumId w:val="4"/>
  </w:num>
  <w:num w:numId="25">
    <w:abstractNumId w:val="0"/>
  </w:num>
  <w:num w:numId="26">
    <w:abstractNumId w:val="19"/>
  </w:num>
  <w:num w:numId="27">
    <w:abstractNumId w:val="9"/>
  </w:num>
  <w:num w:numId="28">
    <w:abstractNumId w:val="5"/>
  </w:num>
  <w:num w:numId="29">
    <w:abstractNumId w:val="28"/>
  </w:num>
  <w:num w:numId="30">
    <w:abstractNumId w:val="17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sjAzsTS3MDUxNjRX0lEKTi0uzszPAykwrAUACz+YIiwAAAA="/>
  </w:docVars>
  <w:rsids>
    <w:rsidRoot w:val="004A629F"/>
    <w:rsid w:val="00055C5D"/>
    <w:rsid w:val="000A7774"/>
    <w:rsid w:val="000B4208"/>
    <w:rsid w:val="000B5E31"/>
    <w:rsid w:val="000D0ABA"/>
    <w:rsid w:val="001D13DD"/>
    <w:rsid w:val="0022410F"/>
    <w:rsid w:val="002259B2"/>
    <w:rsid w:val="002328D3"/>
    <w:rsid w:val="00246071"/>
    <w:rsid w:val="003412B8"/>
    <w:rsid w:val="00420086"/>
    <w:rsid w:val="0042732E"/>
    <w:rsid w:val="00481035"/>
    <w:rsid w:val="004A629F"/>
    <w:rsid w:val="00514C74"/>
    <w:rsid w:val="005237E5"/>
    <w:rsid w:val="00632821"/>
    <w:rsid w:val="00646BAA"/>
    <w:rsid w:val="006C4802"/>
    <w:rsid w:val="00752234"/>
    <w:rsid w:val="00762472"/>
    <w:rsid w:val="0078796A"/>
    <w:rsid w:val="007B1988"/>
    <w:rsid w:val="007B5CE9"/>
    <w:rsid w:val="007D08A3"/>
    <w:rsid w:val="008031B6"/>
    <w:rsid w:val="008176EB"/>
    <w:rsid w:val="00896914"/>
    <w:rsid w:val="008B1658"/>
    <w:rsid w:val="008D6EB4"/>
    <w:rsid w:val="00915AD7"/>
    <w:rsid w:val="009357BB"/>
    <w:rsid w:val="009A44EA"/>
    <w:rsid w:val="009C7A07"/>
    <w:rsid w:val="009F5A64"/>
    <w:rsid w:val="00A03371"/>
    <w:rsid w:val="00AE4CD5"/>
    <w:rsid w:val="00AE6467"/>
    <w:rsid w:val="00BB4C08"/>
    <w:rsid w:val="00C47AD7"/>
    <w:rsid w:val="00C664F5"/>
    <w:rsid w:val="00C964B4"/>
    <w:rsid w:val="00EA4441"/>
    <w:rsid w:val="00EB561E"/>
    <w:rsid w:val="00EE5381"/>
    <w:rsid w:val="00F25A74"/>
    <w:rsid w:val="00F42E2A"/>
    <w:rsid w:val="00F61765"/>
    <w:rsid w:val="00FA2E8A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BFF82-B3F5-4D4C-A60E-9714061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51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nier.com/products/md-btd/" TargetMode="External"/><Relationship Id="rId13" Type="http://schemas.openxmlformats.org/officeDocument/2006/relationships/hyperlink" Target="http://www.vernier.com/products/ls-bta/" TargetMode="External"/><Relationship Id="rId18" Type="http://schemas.openxmlformats.org/officeDocument/2006/relationships/hyperlink" Target="http://www.vernier.com/products/mg-bt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ernier.com/products/labq2/" TargetMode="External"/><Relationship Id="rId12" Type="http://schemas.openxmlformats.org/officeDocument/2006/relationships/hyperlink" Target="http://www.vernier.com/products/lga-bta/" TargetMode="External"/><Relationship Id="rId17" Type="http://schemas.openxmlformats.org/officeDocument/2006/relationships/hyperlink" Target="http://www.vernier.com/products/tmp-b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rnier.com/products/pf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nier.com/products/dvp-b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rnier.com/products/spa/" TargetMode="External"/><Relationship Id="rId10" Type="http://schemas.openxmlformats.org/officeDocument/2006/relationships/hyperlink" Target="http://www.vernier.com/products/mca-bta/" TargetMode="External"/><Relationship Id="rId19" Type="http://schemas.openxmlformats.org/officeDocument/2006/relationships/hyperlink" Target="http://www.vernier.com/products/dcp-b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nier.com/products/dfs-bta/" TargetMode="External"/><Relationship Id="rId14" Type="http://schemas.openxmlformats.org/officeDocument/2006/relationships/hyperlink" Target="http://www.vernier.com/products/vpg-bt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Liesl Harris</cp:lastModifiedBy>
  <cp:revision>2</cp:revision>
  <cp:lastPrinted>2016-07-20T18:58:00Z</cp:lastPrinted>
  <dcterms:created xsi:type="dcterms:W3CDTF">2016-08-29T13:36:00Z</dcterms:created>
  <dcterms:modified xsi:type="dcterms:W3CDTF">2016-08-29T13:36:00Z</dcterms:modified>
</cp:coreProperties>
</file>