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037AB" w:rsidRPr="00B81C69" w:rsidTr="002A7776">
        <w:tc>
          <w:tcPr>
            <w:tcW w:w="6588" w:type="dxa"/>
          </w:tcPr>
          <w:p w:rsidR="00A6155C" w:rsidRDefault="00A6155C" w:rsidP="002A7776">
            <w:pPr>
              <w:rPr>
                <w:noProof/>
              </w:rPr>
            </w:pPr>
            <w:bookmarkStart w:id="0" w:name="_GoBack"/>
            <w:bookmarkEnd w:id="0"/>
          </w:p>
          <w:p w:rsidR="000037AB" w:rsidRPr="00B81C69" w:rsidRDefault="000037AB" w:rsidP="002A7776">
            <w:pPr>
              <w:rPr>
                <w:b/>
                <w:sz w:val="24"/>
                <w:szCs w:val="24"/>
              </w:rPr>
            </w:pPr>
            <w:r>
              <w:rPr>
                <w:noProof/>
              </w:rPr>
              <w:drawing>
                <wp:inline distT="0" distB="0" distL="0" distR="0" wp14:anchorId="72AABBFB" wp14:editId="1AFA90F6">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A6155C" w:rsidRDefault="00A6155C" w:rsidP="002A7776">
            <w:pPr>
              <w:jc w:val="right"/>
              <w:rPr>
                <w:b/>
                <w:sz w:val="36"/>
                <w:szCs w:val="36"/>
              </w:rPr>
            </w:pPr>
          </w:p>
          <w:p w:rsidR="00A6155C" w:rsidRDefault="00A6155C" w:rsidP="002A7776">
            <w:pPr>
              <w:jc w:val="right"/>
              <w:rPr>
                <w:b/>
                <w:sz w:val="36"/>
                <w:szCs w:val="36"/>
              </w:rPr>
            </w:pPr>
          </w:p>
          <w:p w:rsidR="000037AB" w:rsidRPr="00490115" w:rsidRDefault="000037AB" w:rsidP="002A7776">
            <w:pPr>
              <w:jc w:val="right"/>
              <w:rPr>
                <w:b/>
                <w:sz w:val="36"/>
                <w:szCs w:val="36"/>
              </w:rPr>
            </w:pPr>
            <w:r w:rsidRPr="00490115">
              <w:rPr>
                <w:b/>
                <w:sz w:val="36"/>
                <w:szCs w:val="36"/>
              </w:rPr>
              <w:t>Goal Progress Report</w:t>
            </w:r>
          </w:p>
        </w:tc>
      </w:tr>
    </w:tbl>
    <w:p w:rsidR="000037AB" w:rsidRPr="002A44E2" w:rsidRDefault="000037AB" w:rsidP="000037AB">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0037AB" w:rsidRPr="00B81C69" w:rsidTr="002A7776">
        <w:tc>
          <w:tcPr>
            <w:tcW w:w="1291" w:type="dxa"/>
          </w:tcPr>
          <w:p w:rsidR="000037AB" w:rsidRPr="00D554AC" w:rsidRDefault="000037AB" w:rsidP="002A7776">
            <w:pPr>
              <w:rPr>
                <w:b/>
                <w:sz w:val="28"/>
                <w:szCs w:val="28"/>
              </w:rPr>
            </w:pPr>
            <w:r w:rsidRPr="00D554AC">
              <w:rPr>
                <w:b/>
                <w:sz w:val="28"/>
                <w:szCs w:val="28"/>
              </w:rPr>
              <w:t>Program:</w:t>
            </w:r>
          </w:p>
        </w:tc>
        <w:tc>
          <w:tcPr>
            <w:tcW w:w="5207" w:type="dxa"/>
            <w:tcBorders>
              <w:bottom w:val="single" w:sz="6" w:space="0" w:color="auto"/>
            </w:tcBorders>
          </w:tcPr>
          <w:p w:rsidR="000037AB" w:rsidRPr="00B81C69" w:rsidRDefault="000037AB" w:rsidP="002A7776">
            <w:pPr>
              <w:rPr>
                <w:b/>
                <w:sz w:val="24"/>
                <w:szCs w:val="24"/>
              </w:rPr>
            </w:pPr>
            <w:r>
              <w:rPr>
                <w:b/>
                <w:sz w:val="24"/>
                <w:szCs w:val="24"/>
              </w:rPr>
              <w:t xml:space="preserve">Child Development </w:t>
            </w:r>
          </w:p>
        </w:tc>
        <w:tc>
          <w:tcPr>
            <w:tcW w:w="2610" w:type="dxa"/>
          </w:tcPr>
          <w:p w:rsidR="000037AB" w:rsidRPr="00D554AC" w:rsidRDefault="000037AB" w:rsidP="002A7776">
            <w:pPr>
              <w:rPr>
                <w:b/>
                <w:sz w:val="28"/>
                <w:szCs w:val="28"/>
              </w:rPr>
            </w:pPr>
            <w:r>
              <w:rPr>
                <w:b/>
                <w:sz w:val="24"/>
                <w:szCs w:val="24"/>
              </w:rPr>
              <w:t xml:space="preserve">  </w:t>
            </w:r>
            <w:r>
              <w:rPr>
                <w:b/>
                <w:sz w:val="28"/>
                <w:szCs w:val="28"/>
              </w:rPr>
              <w:t>Report</w:t>
            </w:r>
            <w:r w:rsidRPr="00D554AC">
              <w:rPr>
                <w:b/>
                <w:sz w:val="28"/>
                <w:szCs w:val="28"/>
              </w:rPr>
              <w:t xml:space="preserve"> period:</w:t>
            </w:r>
          </w:p>
        </w:tc>
        <w:tc>
          <w:tcPr>
            <w:tcW w:w="4081" w:type="dxa"/>
            <w:tcBorders>
              <w:bottom w:val="single" w:sz="6" w:space="0" w:color="auto"/>
            </w:tcBorders>
          </w:tcPr>
          <w:p w:rsidR="000037AB" w:rsidRPr="00B81C69" w:rsidRDefault="000C32D1" w:rsidP="002A7776">
            <w:pPr>
              <w:rPr>
                <w:b/>
                <w:sz w:val="24"/>
                <w:szCs w:val="24"/>
              </w:rPr>
            </w:pPr>
            <w:r>
              <w:rPr>
                <w:b/>
                <w:sz w:val="24"/>
                <w:szCs w:val="24"/>
              </w:rPr>
              <w:t>201</w:t>
            </w:r>
            <w:r w:rsidR="00EB43F8">
              <w:rPr>
                <w:b/>
                <w:sz w:val="24"/>
                <w:szCs w:val="24"/>
              </w:rPr>
              <w:t>8</w:t>
            </w:r>
            <w:r>
              <w:rPr>
                <w:b/>
                <w:sz w:val="24"/>
                <w:szCs w:val="24"/>
              </w:rPr>
              <w:t>-201</w:t>
            </w:r>
            <w:r w:rsidR="00EB43F8">
              <w:rPr>
                <w:b/>
                <w:sz w:val="24"/>
                <w:szCs w:val="24"/>
              </w:rPr>
              <w:t>9</w:t>
            </w:r>
          </w:p>
        </w:tc>
      </w:tr>
    </w:tbl>
    <w:p w:rsidR="000037AB" w:rsidRPr="002A44E2" w:rsidRDefault="000037AB" w:rsidP="000037AB">
      <w:pPr>
        <w:rPr>
          <w:b/>
          <w:sz w:val="18"/>
          <w:szCs w:val="18"/>
        </w:rPr>
      </w:pPr>
    </w:p>
    <w:p w:rsidR="000037AB" w:rsidRDefault="000037AB" w:rsidP="000037AB">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0037AB" w:rsidRPr="00D554AC" w:rsidTr="002A7776">
        <w:tc>
          <w:tcPr>
            <w:tcW w:w="13176" w:type="dxa"/>
            <w:gridSpan w:val="4"/>
            <w:tcBorders>
              <w:bottom w:val="single" w:sz="6" w:space="0" w:color="auto"/>
            </w:tcBorders>
            <w:shd w:val="clear" w:color="auto" w:fill="D9D9D9" w:themeFill="background1" w:themeFillShade="D9"/>
          </w:tcPr>
          <w:p w:rsidR="000037AB" w:rsidRPr="00D554AC" w:rsidRDefault="000037AB" w:rsidP="002A7776">
            <w:pPr>
              <w:jc w:val="center"/>
              <w:rPr>
                <w:b/>
                <w:sz w:val="32"/>
                <w:szCs w:val="32"/>
              </w:rPr>
            </w:pPr>
          </w:p>
        </w:tc>
      </w:tr>
      <w:tr w:rsidR="007C296E" w:rsidRPr="00D554AC" w:rsidTr="002A7776">
        <w:trPr>
          <w:trHeight w:val="54"/>
        </w:trPr>
        <w:tc>
          <w:tcPr>
            <w:tcW w:w="3294" w:type="dxa"/>
            <w:tcBorders>
              <w:left w:val="single" w:sz="6" w:space="0" w:color="auto"/>
              <w:bottom w:val="double" w:sz="4" w:space="0" w:color="auto"/>
              <w:right w:val="single" w:sz="6" w:space="0" w:color="auto"/>
            </w:tcBorders>
          </w:tcPr>
          <w:p w:rsidR="000037AB" w:rsidRPr="00490115" w:rsidRDefault="000037AB" w:rsidP="002A7776">
            <w:pPr>
              <w:jc w:val="center"/>
              <w:rPr>
                <w:b/>
                <w:sz w:val="16"/>
                <w:szCs w:val="16"/>
              </w:rPr>
            </w:pPr>
          </w:p>
          <w:p w:rsidR="000037AB" w:rsidRPr="00D554AC" w:rsidRDefault="000037AB" w:rsidP="002A7776">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rsidR="000037AB" w:rsidRPr="00D554AC" w:rsidRDefault="000037AB" w:rsidP="002A7776">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rsidR="000037AB" w:rsidRPr="00490115" w:rsidRDefault="000037AB" w:rsidP="002A7776">
            <w:pPr>
              <w:jc w:val="center"/>
              <w:rPr>
                <w:b/>
                <w:sz w:val="16"/>
                <w:szCs w:val="16"/>
              </w:rPr>
            </w:pPr>
          </w:p>
          <w:p w:rsidR="000037AB" w:rsidRPr="00D554AC" w:rsidRDefault="000037AB" w:rsidP="002A7776">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rsidR="000037AB" w:rsidRPr="00D554AC" w:rsidRDefault="000037AB" w:rsidP="002A7776">
            <w:pPr>
              <w:jc w:val="center"/>
              <w:rPr>
                <w:b/>
                <w:sz w:val="24"/>
                <w:szCs w:val="24"/>
              </w:rPr>
            </w:pPr>
            <w:r>
              <w:rPr>
                <w:b/>
                <w:sz w:val="24"/>
                <w:szCs w:val="24"/>
              </w:rPr>
              <w:t>Strategies Implemented &amp; Follow-up</w:t>
            </w:r>
          </w:p>
        </w:tc>
      </w:tr>
      <w:tr w:rsidR="007C296E" w:rsidTr="002A7776">
        <w:trPr>
          <w:trHeight w:val="54"/>
        </w:trPr>
        <w:tc>
          <w:tcPr>
            <w:tcW w:w="3294" w:type="dxa"/>
            <w:tcBorders>
              <w:top w:val="thinThickSmallGap" w:sz="12" w:space="0" w:color="auto"/>
              <w:right w:val="single" w:sz="6" w:space="0" w:color="auto"/>
            </w:tcBorders>
          </w:tcPr>
          <w:p w:rsidR="00C7791B" w:rsidRPr="00E61929" w:rsidRDefault="00EB43F8" w:rsidP="004E5E1F">
            <w:pPr>
              <w:rPr>
                <w:color w:val="FF0000"/>
              </w:rPr>
            </w:pPr>
            <w:r>
              <w:t>To maintain accreditatio</w:t>
            </w:r>
            <w:r w:rsidR="004E5E1F">
              <w:t>n</w:t>
            </w:r>
          </w:p>
        </w:tc>
        <w:tc>
          <w:tcPr>
            <w:tcW w:w="3294" w:type="dxa"/>
            <w:tcBorders>
              <w:top w:val="thinThickSmallGap" w:sz="12" w:space="0" w:color="auto"/>
              <w:left w:val="single" w:sz="6" w:space="0" w:color="auto"/>
              <w:right w:val="single" w:sz="4" w:space="0" w:color="auto"/>
            </w:tcBorders>
          </w:tcPr>
          <w:p w:rsidR="00536017" w:rsidRPr="001B452C" w:rsidRDefault="00EB43F8" w:rsidP="006044AA">
            <w:pPr>
              <w:pStyle w:val="ListParagraph"/>
              <w:ind w:left="126"/>
            </w:pPr>
            <w:r>
              <w:t xml:space="preserve">Successful completion of annual </w:t>
            </w:r>
            <w:r w:rsidR="004E5E1F">
              <w:t>report;</w:t>
            </w:r>
            <w:r>
              <w:t xml:space="preserve"> Pay annual fees $1950</w:t>
            </w:r>
          </w:p>
        </w:tc>
        <w:tc>
          <w:tcPr>
            <w:tcW w:w="3294" w:type="dxa"/>
            <w:tcBorders>
              <w:top w:val="thinThickSmallGap" w:sz="12" w:space="0" w:color="auto"/>
              <w:left w:val="single" w:sz="4" w:space="0" w:color="auto"/>
              <w:right w:val="single" w:sz="6" w:space="0" w:color="auto"/>
            </w:tcBorders>
          </w:tcPr>
          <w:p w:rsidR="009706A3" w:rsidRDefault="00EB43F8" w:rsidP="00FB7112">
            <w:pPr>
              <w:rPr>
                <w:color w:val="000000" w:themeColor="text1"/>
              </w:rPr>
            </w:pPr>
            <w:r>
              <w:rPr>
                <w:color w:val="000000" w:themeColor="text1"/>
              </w:rPr>
              <w:t>Achieved.</w:t>
            </w:r>
          </w:p>
          <w:p w:rsidR="00C7791B" w:rsidRDefault="00EB43F8" w:rsidP="00EB43F8">
            <w:pPr>
              <w:rPr>
                <w:color w:val="000000" w:themeColor="text1"/>
              </w:rPr>
            </w:pPr>
            <w:r>
              <w:rPr>
                <w:color w:val="000000" w:themeColor="text1"/>
              </w:rPr>
              <w:t>Fees paid; completed self-study and submitted; completed team visit</w:t>
            </w:r>
          </w:p>
          <w:p w:rsidR="00EB43F8" w:rsidRPr="005F1F50" w:rsidRDefault="00EB43F8" w:rsidP="00EB43F8">
            <w:pPr>
              <w:rPr>
                <w:color w:val="000000" w:themeColor="text1"/>
                <w:highlight w:val="yellow"/>
              </w:rPr>
            </w:pPr>
          </w:p>
        </w:tc>
        <w:tc>
          <w:tcPr>
            <w:tcW w:w="3294" w:type="dxa"/>
            <w:tcBorders>
              <w:top w:val="thinThickSmallGap" w:sz="12" w:space="0" w:color="auto"/>
              <w:left w:val="single" w:sz="6" w:space="0" w:color="auto"/>
            </w:tcBorders>
          </w:tcPr>
          <w:p w:rsidR="00C7791B" w:rsidRPr="002B40A4" w:rsidRDefault="00EB43F8" w:rsidP="00EB43F8">
            <w:pPr>
              <w:rPr>
                <w:color w:val="000000" w:themeColor="text1"/>
              </w:rPr>
            </w:pPr>
            <w:r w:rsidRPr="002B40A4">
              <w:rPr>
                <w:color w:val="000000" w:themeColor="text1"/>
              </w:rPr>
              <w:t>Continue to comply with NAEYC standards</w:t>
            </w:r>
          </w:p>
          <w:p w:rsidR="00EB43F8" w:rsidRPr="00EB43F8" w:rsidRDefault="00EB43F8" w:rsidP="00EB43F8">
            <w:pPr>
              <w:rPr>
                <w:color w:val="000000" w:themeColor="text1"/>
                <w:highlight w:val="yellow"/>
              </w:rPr>
            </w:pPr>
          </w:p>
        </w:tc>
      </w:tr>
      <w:tr w:rsidR="007C296E" w:rsidTr="002A7776">
        <w:trPr>
          <w:trHeight w:val="54"/>
        </w:trPr>
        <w:tc>
          <w:tcPr>
            <w:tcW w:w="3294" w:type="dxa"/>
            <w:tcBorders>
              <w:right w:val="single" w:sz="6" w:space="0" w:color="auto"/>
            </w:tcBorders>
          </w:tcPr>
          <w:p w:rsidR="00C7791B" w:rsidRPr="00EB43F8" w:rsidRDefault="00C7791B" w:rsidP="009706A3">
            <w:pPr>
              <w:rPr>
                <w:color w:val="000000" w:themeColor="text1"/>
              </w:rPr>
            </w:pPr>
            <w:r w:rsidRPr="00E61929">
              <w:rPr>
                <w:color w:val="000000" w:themeColor="text1"/>
              </w:rPr>
              <w:t xml:space="preserve">To improve </w:t>
            </w:r>
            <w:r w:rsidR="00EB43F8">
              <w:rPr>
                <w:color w:val="000000" w:themeColor="text1"/>
              </w:rPr>
              <w:t>program quality through faculty professional development and the review of program curriculum and instruction</w:t>
            </w:r>
          </w:p>
        </w:tc>
        <w:tc>
          <w:tcPr>
            <w:tcW w:w="3294" w:type="dxa"/>
            <w:tcBorders>
              <w:left w:val="single" w:sz="6" w:space="0" w:color="auto"/>
              <w:right w:val="single" w:sz="4" w:space="0" w:color="auto"/>
            </w:tcBorders>
          </w:tcPr>
          <w:p w:rsidR="00EB43F8" w:rsidRDefault="00EB43F8" w:rsidP="00FB7112">
            <w:pPr>
              <w:pStyle w:val="ListParagraph"/>
              <w:ind w:left="177"/>
              <w:rPr>
                <w:color w:val="000000" w:themeColor="text1"/>
              </w:rPr>
            </w:pPr>
            <w:r>
              <w:rPr>
                <w:color w:val="000000" w:themeColor="text1"/>
              </w:rPr>
              <w:t>Funding for Faculty professional development/training for continued program improvement to ensure current research is being taught;</w:t>
            </w:r>
          </w:p>
          <w:p w:rsidR="00EB43F8" w:rsidRDefault="00EB43F8" w:rsidP="00FB7112">
            <w:pPr>
              <w:pStyle w:val="ListParagraph"/>
              <w:ind w:left="177"/>
              <w:rPr>
                <w:color w:val="000000" w:themeColor="text1"/>
              </w:rPr>
            </w:pPr>
            <w:r>
              <w:rPr>
                <w:color w:val="000000" w:themeColor="text1"/>
              </w:rPr>
              <w:t xml:space="preserve">Funding for continued technical training for faculty in current instructional teaching tools; continue program faculty meetings to go over courses and improve curriculum and instruction; Funding to prepare and host Program Advisory Committee meetings; </w:t>
            </w:r>
          </w:p>
          <w:p w:rsidR="00EB43F8" w:rsidRDefault="00EB43F8" w:rsidP="00FB7112">
            <w:pPr>
              <w:pStyle w:val="ListParagraph"/>
              <w:ind w:left="177"/>
              <w:rPr>
                <w:color w:val="000000" w:themeColor="text1"/>
              </w:rPr>
            </w:pPr>
          </w:p>
          <w:p w:rsidR="00C7791B" w:rsidRPr="00D07CD0" w:rsidRDefault="00C7791B" w:rsidP="00EB43F8">
            <w:pPr>
              <w:pStyle w:val="ListParagraph"/>
              <w:ind w:left="1800"/>
              <w:rPr>
                <w:color w:val="000000" w:themeColor="text1"/>
              </w:rPr>
            </w:pPr>
          </w:p>
        </w:tc>
        <w:tc>
          <w:tcPr>
            <w:tcW w:w="3294" w:type="dxa"/>
            <w:tcBorders>
              <w:left w:val="single" w:sz="4" w:space="0" w:color="auto"/>
              <w:right w:val="single" w:sz="6" w:space="0" w:color="auto"/>
            </w:tcBorders>
          </w:tcPr>
          <w:p w:rsidR="00D07CD0" w:rsidRDefault="00EB43F8" w:rsidP="001B452C">
            <w:pPr>
              <w:rPr>
                <w:color w:val="000000" w:themeColor="text1"/>
              </w:rPr>
            </w:pPr>
            <w:r>
              <w:rPr>
                <w:color w:val="000000" w:themeColor="text1"/>
              </w:rPr>
              <w:t>Achieved.</w:t>
            </w:r>
          </w:p>
          <w:p w:rsidR="00EB43F8" w:rsidRDefault="00EB43F8" w:rsidP="001B452C">
            <w:pPr>
              <w:rPr>
                <w:color w:val="000000" w:themeColor="text1"/>
              </w:rPr>
            </w:pPr>
          </w:p>
          <w:p w:rsidR="00CA5409" w:rsidRPr="00C876CD" w:rsidRDefault="00CA5409" w:rsidP="00CA5409">
            <w:r w:rsidRPr="00C876CD">
              <w:t>Faculty attended and participated in the following:</w:t>
            </w:r>
          </w:p>
          <w:p w:rsidR="00CA5409" w:rsidRDefault="00CA5409" w:rsidP="00CA5409">
            <w:pPr>
              <w:rPr>
                <w:color w:val="000000" w:themeColor="text1"/>
              </w:rPr>
            </w:pPr>
            <w:r w:rsidRPr="00C876CD">
              <w:t xml:space="preserve">Alabama Early Childhood </w:t>
            </w:r>
            <w:r w:rsidRPr="002B40A4">
              <w:rPr>
                <w:color w:val="000000" w:themeColor="text1"/>
              </w:rPr>
              <w:t xml:space="preserve">Education Conference in Mobile, AL; NAEYC Professional Learning Institute (June 2019); AACC Professional Development Day – Alabama State </w:t>
            </w:r>
            <w:r w:rsidR="004E5E1F" w:rsidRPr="002B40A4">
              <w:rPr>
                <w:color w:val="000000" w:themeColor="text1"/>
              </w:rPr>
              <w:t>University; Stepping</w:t>
            </w:r>
            <w:r w:rsidRPr="002B40A4">
              <w:rPr>
                <w:color w:val="000000" w:themeColor="text1"/>
              </w:rPr>
              <w:t xml:space="preserve"> Stones Conference; AITPDN meetings; various professional meetings including Alabama Department of Early Childhood, ACCS Child Development Committee, TEACH, EACA </w:t>
            </w:r>
            <w:r w:rsidR="004E5E1F" w:rsidRPr="002B40A4">
              <w:rPr>
                <w:color w:val="000000" w:themeColor="text1"/>
              </w:rPr>
              <w:t>Head start</w:t>
            </w:r>
            <w:r w:rsidRPr="002B40A4">
              <w:rPr>
                <w:color w:val="000000" w:themeColor="text1"/>
              </w:rPr>
              <w:t xml:space="preserve"> Advisory, Family Child Care Project Committee, Alabama Afterschool Committee.</w:t>
            </w:r>
          </w:p>
          <w:p w:rsidR="002B40A4" w:rsidRDefault="002B40A4" w:rsidP="00CA5409">
            <w:pPr>
              <w:rPr>
                <w:color w:val="000000" w:themeColor="text1"/>
              </w:rPr>
            </w:pPr>
            <w:r>
              <w:rPr>
                <w:color w:val="000000" w:themeColor="text1"/>
              </w:rPr>
              <w:lastRenderedPageBreak/>
              <w:t>Faculty participated in and collaborated with the Child Development Program Advisory Committee.</w:t>
            </w:r>
            <w:r w:rsidR="007E1D52">
              <w:rPr>
                <w:color w:val="000000" w:themeColor="text1"/>
              </w:rPr>
              <w:t xml:space="preserve"> </w:t>
            </w:r>
            <w:r w:rsidR="007E1D52" w:rsidRPr="002B40A4">
              <w:t xml:space="preserve">CHD Advisory Committee met twice this year: Conference Call meeting June 11, 2019; Luncheon meeting April 10, 2019. </w:t>
            </w:r>
          </w:p>
          <w:p w:rsidR="002B40A4" w:rsidRPr="00CA5409" w:rsidRDefault="002B40A4" w:rsidP="00CA5409"/>
        </w:tc>
        <w:tc>
          <w:tcPr>
            <w:tcW w:w="3294" w:type="dxa"/>
            <w:tcBorders>
              <w:left w:val="single" w:sz="6" w:space="0" w:color="auto"/>
            </w:tcBorders>
          </w:tcPr>
          <w:p w:rsidR="00D00EA7" w:rsidRPr="00215F8A" w:rsidRDefault="00C876CD" w:rsidP="000C32D1">
            <w:pPr>
              <w:pStyle w:val="ListParagraph"/>
              <w:ind w:left="18"/>
              <w:rPr>
                <w:color w:val="000000" w:themeColor="text1"/>
              </w:rPr>
            </w:pPr>
            <w:r>
              <w:rPr>
                <w:color w:val="000000" w:themeColor="text1"/>
              </w:rPr>
              <w:lastRenderedPageBreak/>
              <w:t>Program faculty will continue to seek out professional development opportunities and will continue to work closely with the childcare professional community, governmental agencies, etc. to ensure that the program’s curriculum is current and continues to meet the needs of the community.</w:t>
            </w:r>
          </w:p>
        </w:tc>
      </w:tr>
      <w:tr w:rsidR="007C296E" w:rsidTr="002A7776">
        <w:trPr>
          <w:trHeight w:val="54"/>
        </w:trPr>
        <w:tc>
          <w:tcPr>
            <w:tcW w:w="3294" w:type="dxa"/>
            <w:tcBorders>
              <w:right w:val="single" w:sz="6" w:space="0" w:color="auto"/>
            </w:tcBorders>
          </w:tcPr>
          <w:p w:rsidR="00C75001" w:rsidRDefault="00C75001" w:rsidP="002A7776">
            <w:pPr>
              <w:rPr>
                <w:color w:val="000000" w:themeColor="text1"/>
              </w:rPr>
            </w:pPr>
            <w:r>
              <w:rPr>
                <w:color w:val="000000" w:themeColor="text1"/>
              </w:rPr>
              <w:t>To continue review and development of additional compact courses to provide students an avenue to more quickly achieve their educational goals.</w:t>
            </w:r>
          </w:p>
          <w:p w:rsidR="00C75001" w:rsidRDefault="00C75001" w:rsidP="002A7776">
            <w:pPr>
              <w:rPr>
                <w:color w:val="000000" w:themeColor="text1"/>
              </w:rPr>
            </w:pPr>
          </w:p>
          <w:p w:rsidR="00C7791B" w:rsidRPr="00287910" w:rsidRDefault="00C7791B" w:rsidP="00C75001">
            <w:pPr>
              <w:rPr>
                <w:color w:val="FF0000"/>
              </w:rPr>
            </w:pPr>
          </w:p>
        </w:tc>
        <w:tc>
          <w:tcPr>
            <w:tcW w:w="3294" w:type="dxa"/>
            <w:tcBorders>
              <w:left w:val="single" w:sz="6" w:space="0" w:color="auto"/>
              <w:right w:val="single" w:sz="4" w:space="0" w:color="auto"/>
            </w:tcBorders>
          </w:tcPr>
          <w:p w:rsidR="00C75001" w:rsidRDefault="00C75001" w:rsidP="00FB7112">
            <w:pPr>
              <w:pStyle w:val="ListParagraph"/>
              <w:ind w:left="145"/>
              <w:rPr>
                <w:color w:val="000000" w:themeColor="text1"/>
              </w:rPr>
            </w:pPr>
            <w:r>
              <w:rPr>
                <w:color w:val="000000" w:themeColor="text1"/>
              </w:rPr>
              <w:t>Addition of at least two compact courses;</w:t>
            </w:r>
            <w:r w:rsidR="00CA5409">
              <w:rPr>
                <w:color w:val="000000" w:themeColor="text1"/>
              </w:rPr>
              <w:t xml:space="preserve"> Examine the success of students in completing the compact courses; use information from previously reviewed compact courses to aid in the development of the additional compact courses; e</w:t>
            </w:r>
            <w:r>
              <w:rPr>
                <w:color w:val="000000" w:themeColor="text1"/>
              </w:rPr>
              <w:t>xamine/continue review of the contents of compact courses currently offered;</w:t>
            </w:r>
          </w:p>
          <w:p w:rsidR="00CA5409" w:rsidRDefault="00CA5409" w:rsidP="00FB7112">
            <w:pPr>
              <w:pStyle w:val="ListParagraph"/>
              <w:ind w:left="145"/>
              <w:rPr>
                <w:color w:val="000000" w:themeColor="text1"/>
              </w:rPr>
            </w:pPr>
          </w:p>
          <w:p w:rsidR="00C75001" w:rsidRDefault="00C75001" w:rsidP="00FB7112">
            <w:pPr>
              <w:pStyle w:val="ListParagraph"/>
              <w:ind w:left="145"/>
              <w:rPr>
                <w:color w:val="000000" w:themeColor="text1"/>
              </w:rPr>
            </w:pPr>
            <w:r>
              <w:rPr>
                <w:color w:val="000000" w:themeColor="text1"/>
              </w:rPr>
              <w:t>Develop and offer two additional compact courses;</w:t>
            </w:r>
          </w:p>
          <w:p w:rsidR="00C75001" w:rsidRDefault="00C75001" w:rsidP="00FB7112">
            <w:pPr>
              <w:pStyle w:val="ListParagraph"/>
              <w:ind w:left="145"/>
              <w:rPr>
                <w:color w:val="000000" w:themeColor="text1"/>
              </w:rPr>
            </w:pPr>
            <w:r>
              <w:rPr>
                <w:color w:val="000000" w:themeColor="text1"/>
              </w:rPr>
              <w:t>Receive input from students to evaluate the need for and success of compact courses;</w:t>
            </w:r>
          </w:p>
          <w:p w:rsidR="00CA5409" w:rsidRDefault="00CA5409" w:rsidP="00FB7112">
            <w:pPr>
              <w:pStyle w:val="ListParagraph"/>
              <w:ind w:left="145"/>
              <w:rPr>
                <w:color w:val="000000" w:themeColor="text1"/>
              </w:rPr>
            </w:pPr>
          </w:p>
          <w:p w:rsidR="00C7791B" w:rsidRPr="005F1F50" w:rsidRDefault="00C7791B" w:rsidP="00CA5409">
            <w:pPr>
              <w:pStyle w:val="ListParagraph"/>
              <w:ind w:left="145"/>
              <w:rPr>
                <w:color w:val="000000" w:themeColor="text1"/>
                <w:highlight w:val="yellow"/>
              </w:rPr>
            </w:pPr>
          </w:p>
        </w:tc>
        <w:tc>
          <w:tcPr>
            <w:tcW w:w="3294" w:type="dxa"/>
            <w:tcBorders>
              <w:left w:val="single" w:sz="4" w:space="0" w:color="auto"/>
              <w:right w:val="single" w:sz="6" w:space="0" w:color="auto"/>
            </w:tcBorders>
          </w:tcPr>
          <w:p w:rsidR="002B40A4" w:rsidRDefault="002B40A4" w:rsidP="00FB7112">
            <w:r>
              <w:t xml:space="preserve">Achieved. </w:t>
            </w:r>
          </w:p>
          <w:p w:rsidR="00C876CD" w:rsidRDefault="00C876CD" w:rsidP="00FB7112"/>
          <w:p w:rsidR="002B40A4" w:rsidRDefault="002B40A4" w:rsidP="00FB7112">
            <w:r>
              <w:t>The program offered the following courses as compact courses during Fall 2018 and Spring 2019: CHD 100, CHD 201, CHD 204, CHD 205, CHD 206, CHD 209, and CHD 210. Enrollment i</w:t>
            </w:r>
            <w:r w:rsidR="007E1D52">
              <w:t>n the compact</w:t>
            </w:r>
            <w:r>
              <w:t xml:space="preserve"> courses were comparable or in some cases higher than in the semester long courses. </w:t>
            </w:r>
            <w:r w:rsidR="007E1D52">
              <w:t xml:space="preserve">Enrollment in compact courses offered </w:t>
            </w:r>
            <w:r w:rsidR="004E5E1F">
              <w:t>fall ‘</w:t>
            </w:r>
            <w:r w:rsidR="007E1D52">
              <w:t xml:space="preserve">18 and spring ’19: </w:t>
            </w:r>
          </w:p>
          <w:p w:rsidR="002B40A4" w:rsidRDefault="002B40A4" w:rsidP="00FB7112"/>
          <w:tbl>
            <w:tblPr>
              <w:tblStyle w:val="TableGrid"/>
              <w:tblW w:w="0" w:type="auto"/>
              <w:tblLook w:val="04A0" w:firstRow="1" w:lastRow="0" w:firstColumn="1" w:lastColumn="0" w:noHBand="0" w:noVBand="1"/>
            </w:tblPr>
            <w:tblGrid>
              <w:gridCol w:w="1022"/>
              <w:gridCol w:w="1023"/>
              <w:gridCol w:w="1023"/>
            </w:tblGrid>
            <w:tr w:rsidR="002B40A4" w:rsidTr="002B40A4">
              <w:tc>
                <w:tcPr>
                  <w:tcW w:w="1022" w:type="dxa"/>
                </w:tcPr>
                <w:p w:rsidR="007E1D52" w:rsidRDefault="007E1D52" w:rsidP="00FB7112">
                  <w:r>
                    <w:t>Compact</w:t>
                  </w:r>
                </w:p>
                <w:p w:rsidR="002B40A4" w:rsidRDefault="002B40A4" w:rsidP="00FB7112">
                  <w:r>
                    <w:t>Course</w:t>
                  </w:r>
                </w:p>
              </w:tc>
              <w:tc>
                <w:tcPr>
                  <w:tcW w:w="1023" w:type="dxa"/>
                </w:tcPr>
                <w:p w:rsidR="002B40A4" w:rsidRDefault="002B40A4" w:rsidP="00FB7112">
                  <w:r>
                    <w:t>Fall ‘18</w:t>
                  </w:r>
                </w:p>
              </w:tc>
              <w:tc>
                <w:tcPr>
                  <w:tcW w:w="1023" w:type="dxa"/>
                </w:tcPr>
                <w:p w:rsidR="002B40A4" w:rsidRDefault="002B40A4" w:rsidP="00FB7112">
                  <w:r>
                    <w:t>Spr ‘19</w:t>
                  </w:r>
                </w:p>
              </w:tc>
            </w:tr>
            <w:tr w:rsidR="002B40A4" w:rsidTr="002B40A4">
              <w:tc>
                <w:tcPr>
                  <w:tcW w:w="1022" w:type="dxa"/>
                </w:tcPr>
                <w:p w:rsidR="002B40A4" w:rsidRDefault="002B40A4" w:rsidP="00FB7112">
                  <w:r>
                    <w:t>CHD 100</w:t>
                  </w:r>
                </w:p>
              </w:tc>
              <w:tc>
                <w:tcPr>
                  <w:tcW w:w="1023" w:type="dxa"/>
                </w:tcPr>
                <w:p w:rsidR="002B40A4" w:rsidRDefault="002B40A4" w:rsidP="00FB7112">
                  <w:r>
                    <w:t>20</w:t>
                  </w:r>
                  <w:r w:rsidR="007E1D52">
                    <w:t>/25</w:t>
                  </w:r>
                </w:p>
              </w:tc>
              <w:tc>
                <w:tcPr>
                  <w:tcW w:w="1023" w:type="dxa"/>
                </w:tcPr>
                <w:p w:rsidR="002B40A4" w:rsidRDefault="007E1D52" w:rsidP="00FB7112">
                  <w:r>
                    <w:t>18/25</w:t>
                  </w:r>
                </w:p>
              </w:tc>
            </w:tr>
            <w:tr w:rsidR="002B40A4" w:rsidTr="002B40A4">
              <w:tc>
                <w:tcPr>
                  <w:tcW w:w="1022" w:type="dxa"/>
                </w:tcPr>
                <w:p w:rsidR="002B40A4" w:rsidRDefault="007E1D52" w:rsidP="00FB7112">
                  <w:r>
                    <w:t>CHD 201</w:t>
                  </w:r>
                </w:p>
              </w:tc>
              <w:tc>
                <w:tcPr>
                  <w:tcW w:w="1023" w:type="dxa"/>
                </w:tcPr>
                <w:p w:rsidR="002B40A4" w:rsidRDefault="007E1D52" w:rsidP="00FB7112">
                  <w:r>
                    <w:t>21/25</w:t>
                  </w:r>
                </w:p>
              </w:tc>
              <w:tc>
                <w:tcPr>
                  <w:tcW w:w="1023" w:type="dxa"/>
                </w:tcPr>
                <w:p w:rsidR="002B40A4" w:rsidRDefault="007E1D52" w:rsidP="00FB7112">
                  <w:r>
                    <w:t>NA</w:t>
                  </w:r>
                </w:p>
              </w:tc>
            </w:tr>
            <w:tr w:rsidR="007E1D52" w:rsidTr="002B40A4">
              <w:tc>
                <w:tcPr>
                  <w:tcW w:w="1022" w:type="dxa"/>
                </w:tcPr>
                <w:p w:rsidR="007E1D52" w:rsidRDefault="007E1D52" w:rsidP="00FB7112">
                  <w:r>
                    <w:t>CHD 204</w:t>
                  </w:r>
                </w:p>
              </w:tc>
              <w:tc>
                <w:tcPr>
                  <w:tcW w:w="1023" w:type="dxa"/>
                </w:tcPr>
                <w:p w:rsidR="007E1D52" w:rsidRDefault="007E1D52" w:rsidP="00FB7112">
                  <w:r>
                    <w:t>21/25</w:t>
                  </w:r>
                </w:p>
              </w:tc>
              <w:tc>
                <w:tcPr>
                  <w:tcW w:w="1023" w:type="dxa"/>
                </w:tcPr>
                <w:p w:rsidR="007E1D52" w:rsidRDefault="007E1D52" w:rsidP="00FB7112">
                  <w:r>
                    <w:t>9/25</w:t>
                  </w:r>
                </w:p>
              </w:tc>
            </w:tr>
            <w:tr w:rsidR="007E1D52" w:rsidTr="002B40A4">
              <w:tc>
                <w:tcPr>
                  <w:tcW w:w="1022" w:type="dxa"/>
                </w:tcPr>
                <w:p w:rsidR="007E1D52" w:rsidRDefault="007E1D52" w:rsidP="00FB7112">
                  <w:r>
                    <w:t>CHD 206</w:t>
                  </w:r>
                </w:p>
              </w:tc>
              <w:tc>
                <w:tcPr>
                  <w:tcW w:w="1023" w:type="dxa"/>
                </w:tcPr>
                <w:p w:rsidR="007E1D52" w:rsidRDefault="007E1D52" w:rsidP="00FB7112">
                  <w:r>
                    <w:t>17/25</w:t>
                  </w:r>
                </w:p>
              </w:tc>
              <w:tc>
                <w:tcPr>
                  <w:tcW w:w="1023" w:type="dxa"/>
                </w:tcPr>
                <w:p w:rsidR="007E1D52" w:rsidRDefault="007E1D52" w:rsidP="00FB7112">
                  <w:r>
                    <w:t>19/25</w:t>
                  </w:r>
                </w:p>
              </w:tc>
            </w:tr>
            <w:tr w:rsidR="007E1D52" w:rsidTr="002B40A4">
              <w:tc>
                <w:tcPr>
                  <w:tcW w:w="1022" w:type="dxa"/>
                </w:tcPr>
                <w:p w:rsidR="007E1D52" w:rsidRDefault="007E1D52" w:rsidP="00FB7112">
                  <w:r>
                    <w:t>CHD 205</w:t>
                  </w:r>
                </w:p>
              </w:tc>
              <w:tc>
                <w:tcPr>
                  <w:tcW w:w="1023" w:type="dxa"/>
                </w:tcPr>
                <w:p w:rsidR="007E1D52" w:rsidRDefault="007E1D52" w:rsidP="00FB7112">
                  <w:r>
                    <w:t>NA</w:t>
                  </w:r>
                </w:p>
              </w:tc>
              <w:tc>
                <w:tcPr>
                  <w:tcW w:w="1023" w:type="dxa"/>
                </w:tcPr>
                <w:p w:rsidR="007E1D52" w:rsidRDefault="007E1D52" w:rsidP="00FB7112">
                  <w:r>
                    <w:t>21/25</w:t>
                  </w:r>
                </w:p>
              </w:tc>
            </w:tr>
            <w:tr w:rsidR="007E1D52" w:rsidTr="002B40A4">
              <w:tc>
                <w:tcPr>
                  <w:tcW w:w="1022" w:type="dxa"/>
                </w:tcPr>
                <w:p w:rsidR="007E1D52" w:rsidRDefault="007E1D52" w:rsidP="00FB7112">
                  <w:r>
                    <w:t>CHD 209</w:t>
                  </w:r>
                </w:p>
              </w:tc>
              <w:tc>
                <w:tcPr>
                  <w:tcW w:w="1023" w:type="dxa"/>
                </w:tcPr>
                <w:p w:rsidR="007E1D52" w:rsidRDefault="007E1D52" w:rsidP="00FB7112">
                  <w:r>
                    <w:t>11/25</w:t>
                  </w:r>
                </w:p>
              </w:tc>
              <w:tc>
                <w:tcPr>
                  <w:tcW w:w="1023" w:type="dxa"/>
                </w:tcPr>
                <w:p w:rsidR="007E1D52" w:rsidRDefault="007E1D52" w:rsidP="00FB7112">
                  <w:r>
                    <w:t>11/25</w:t>
                  </w:r>
                </w:p>
              </w:tc>
            </w:tr>
            <w:tr w:rsidR="007E1D52" w:rsidTr="002B40A4">
              <w:tc>
                <w:tcPr>
                  <w:tcW w:w="1022" w:type="dxa"/>
                </w:tcPr>
                <w:p w:rsidR="007E1D52" w:rsidRDefault="007E1D52" w:rsidP="00FB7112">
                  <w:r>
                    <w:t>CHD 210</w:t>
                  </w:r>
                </w:p>
              </w:tc>
              <w:tc>
                <w:tcPr>
                  <w:tcW w:w="1023" w:type="dxa"/>
                </w:tcPr>
                <w:p w:rsidR="007E1D52" w:rsidRDefault="007E1D52" w:rsidP="00FB7112">
                  <w:r>
                    <w:t>NA</w:t>
                  </w:r>
                </w:p>
              </w:tc>
              <w:tc>
                <w:tcPr>
                  <w:tcW w:w="1023" w:type="dxa"/>
                </w:tcPr>
                <w:p w:rsidR="007E1D52" w:rsidRDefault="007E1D52" w:rsidP="00FB7112">
                  <w:r>
                    <w:t>13/25</w:t>
                  </w:r>
                </w:p>
              </w:tc>
            </w:tr>
          </w:tbl>
          <w:p w:rsidR="002B40A4" w:rsidRDefault="002B40A4" w:rsidP="00FB7112"/>
          <w:p w:rsidR="00C7791B" w:rsidRPr="002B40A4" w:rsidRDefault="00C7791B" w:rsidP="00FB7112">
            <w:r w:rsidRPr="002B40A4">
              <w:t>Faculty meetings were held</w:t>
            </w:r>
            <w:r w:rsidR="001B452C" w:rsidRPr="002B40A4">
              <w:t xml:space="preserve"> each semester</w:t>
            </w:r>
            <w:r w:rsidRPr="002B40A4">
              <w:t>.</w:t>
            </w:r>
            <w:r w:rsidR="00CA5409" w:rsidRPr="002B40A4">
              <w:t xml:space="preserve"> Discussed compact courses and content.</w:t>
            </w:r>
          </w:p>
          <w:p w:rsidR="00CA5409" w:rsidRPr="002B40A4" w:rsidRDefault="00CA5409" w:rsidP="00FB7112"/>
          <w:p w:rsidR="00FD6A04" w:rsidRPr="002B40A4" w:rsidRDefault="00FD6A04" w:rsidP="00FB7112">
            <w:r w:rsidRPr="002B40A4">
              <w:t>Faculty continued to adjust online and compact courses</w:t>
            </w:r>
            <w:r w:rsidR="00060B6F" w:rsidRPr="002B40A4">
              <w:t xml:space="preserve"> t</w:t>
            </w:r>
            <w:r w:rsidR="007E1D52">
              <w:t>o aid student learning/</w:t>
            </w:r>
            <w:r w:rsidR="00060B6F" w:rsidRPr="002B40A4">
              <w:t>instruction.</w:t>
            </w:r>
          </w:p>
          <w:p w:rsidR="00060B6F" w:rsidRPr="002B40A4" w:rsidRDefault="00060B6F" w:rsidP="00FB7112"/>
          <w:p w:rsidR="00C7791B" w:rsidRPr="005F1F50" w:rsidRDefault="00C7791B" w:rsidP="00FB7112">
            <w:pPr>
              <w:rPr>
                <w:color w:val="000000" w:themeColor="text1"/>
                <w:highlight w:val="yellow"/>
              </w:rPr>
            </w:pPr>
          </w:p>
        </w:tc>
        <w:tc>
          <w:tcPr>
            <w:tcW w:w="3294" w:type="dxa"/>
            <w:tcBorders>
              <w:left w:val="single" w:sz="6" w:space="0" w:color="auto"/>
            </w:tcBorders>
          </w:tcPr>
          <w:p w:rsidR="007E1D52" w:rsidRPr="00C876CD" w:rsidRDefault="00CA5409" w:rsidP="00FB7112">
            <w:pPr>
              <w:pStyle w:val="ListParagraph"/>
              <w:ind w:left="52"/>
            </w:pPr>
            <w:r w:rsidRPr="00C876CD">
              <w:lastRenderedPageBreak/>
              <w:t>Program faculty r</w:t>
            </w:r>
            <w:r w:rsidR="00C7791B" w:rsidRPr="00C876CD">
              <w:t>eview</w:t>
            </w:r>
            <w:r w:rsidRPr="00C876CD">
              <w:t xml:space="preserve">ed student evaluation of instructor forms </w:t>
            </w:r>
            <w:r w:rsidR="007E1D52" w:rsidRPr="00C876CD">
              <w:t xml:space="preserve">at the end of each semester. Program faculty will continue to review evaluations and seek ways to aid in student learning of materials presented in a fast/quick pace. </w:t>
            </w:r>
          </w:p>
          <w:p w:rsidR="007E1D52" w:rsidRPr="00C876CD" w:rsidRDefault="007E1D52" w:rsidP="00FB7112">
            <w:pPr>
              <w:pStyle w:val="ListParagraph"/>
              <w:ind w:left="52"/>
            </w:pPr>
          </w:p>
          <w:p w:rsidR="00C876CD" w:rsidRPr="00C876CD" w:rsidRDefault="007E1D52" w:rsidP="00FB7112">
            <w:pPr>
              <w:pStyle w:val="ListParagraph"/>
              <w:ind w:left="52"/>
            </w:pPr>
            <w:r w:rsidRPr="00C876CD">
              <w:t xml:space="preserve">Enrollment in compact courses appear to be </w:t>
            </w:r>
            <w:r w:rsidR="00C876CD" w:rsidRPr="00C876CD">
              <w:t xml:space="preserve">comparable to the traditional long semester. </w:t>
            </w:r>
            <w:r w:rsidR="00C876CD">
              <w:t>There continues to be mixed views where a small percentage prefers not to take a compact course. For the most part, the students who enjoy these courses enjoy being able to complete the course in a shorter time frame. The program will continue to offer a mix of traditional long and compact.</w:t>
            </w:r>
            <w:r w:rsidR="00C876CD" w:rsidRPr="00C876CD">
              <w:t xml:space="preserve"> The faculty will monitor closely students’ performance in these courses and modify as needed. </w:t>
            </w:r>
          </w:p>
          <w:p w:rsidR="00C876CD" w:rsidRPr="00C876CD" w:rsidRDefault="00C876CD" w:rsidP="00FB7112">
            <w:pPr>
              <w:pStyle w:val="ListParagraph"/>
              <w:ind w:left="52"/>
            </w:pPr>
          </w:p>
          <w:p w:rsidR="00C7791B" w:rsidRPr="005F1F50" w:rsidRDefault="00C7791B" w:rsidP="00C876CD">
            <w:pPr>
              <w:pStyle w:val="ListParagraph"/>
              <w:ind w:left="52"/>
              <w:rPr>
                <w:color w:val="000000" w:themeColor="text1"/>
                <w:highlight w:val="yellow"/>
              </w:rPr>
            </w:pPr>
          </w:p>
        </w:tc>
      </w:tr>
      <w:tr w:rsidR="007C296E" w:rsidTr="002A7776">
        <w:trPr>
          <w:trHeight w:val="54"/>
        </w:trPr>
        <w:tc>
          <w:tcPr>
            <w:tcW w:w="3294" w:type="dxa"/>
            <w:tcBorders>
              <w:right w:val="single" w:sz="6" w:space="0" w:color="auto"/>
            </w:tcBorders>
          </w:tcPr>
          <w:p w:rsidR="00060B6F" w:rsidRDefault="00060B6F" w:rsidP="002A7776">
            <w:pPr>
              <w:rPr>
                <w:color w:val="000000" w:themeColor="text1"/>
              </w:rPr>
            </w:pPr>
            <w:r>
              <w:rPr>
                <w:color w:val="000000" w:themeColor="text1"/>
              </w:rPr>
              <w:t>To continue offering dual enrollment specific courses to provide the educational component only of the nationally recognized Child Development Associate (CDA) credential</w:t>
            </w:r>
          </w:p>
          <w:p w:rsidR="00060B6F" w:rsidRDefault="00060B6F" w:rsidP="002A7776">
            <w:pPr>
              <w:rPr>
                <w:color w:val="000000" w:themeColor="text1"/>
              </w:rPr>
            </w:pPr>
          </w:p>
          <w:p w:rsidR="00C7791B" w:rsidRPr="00287910" w:rsidRDefault="00C7791B" w:rsidP="00060B6F">
            <w:pPr>
              <w:rPr>
                <w:color w:val="FF0000"/>
              </w:rPr>
            </w:pPr>
          </w:p>
        </w:tc>
        <w:tc>
          <w:tcPr>
            <w:tcW w:w="3294" w:type="dxa"/>
            <w:tcBorders>
              <w:left w:val="single" w:sz="6" w:space="0" w:color="auto"/>
              <w:right w:val="single" w:sz="4" w:space="0" w:color="auto"/>
            </w:tcBorders>
          </w:tcPr>
          <w:p w:rsidR="00060B6F" w:rsidRDefault="00060B6F" w:rsidP="00060B6F">
            <w:pPr>
              <w:pStyle w:val="ListParagraph"/>
              <w:ind w:left="153"/>
              <w:rPr>
                <w:color w:val="000000" w:themeColor="text1"/>
              </w:rPr>
            </w:pPr>
            <w:r>
              <w:rPr>
                <w:color w:val="000000" w:themeColor="text1"/>
              </w:rPr>
              <w:t>Work with dual enrollment office to meet student needs and success;</w:t>
            </w:r>
          </w:p>
          <w:p w:rsidR="00722963" w:rsidRDefault="00722963" w:rsidP="00060B6F">
            <w:pPr>
              <w:pStyle w:val="ListParagraph"/>
              <w:ind w:left="153"/>
              <w:rPr>
                <w:color w:val="000000" w:themeColor="text1"/>
              </w:rPr>
            </w:pPr>
          </w:p>
          <w:p w:rsidR="00060B6F" w:rsidRDefault="00060B6F" w:rsidP="00060B6F">
            <w:pPr>
              <w:pStyle w:val="ListParagraph"/>
              <w:ind w:left="153"/>
              <w:rPr>
                <w:color w:val="000000" w:themeColor="text1"/>
              </w:rPr>
            </w:pPr>
            <w:r>
              <w:rPr>
                <w:color w:val="000000" w:themeColor="text1"/>
              </w:rPr>
              <w:t>Review the course methods offered to dual enrollment;</w:t>
            </w:r>
          </w:p>
          <w:p w:rsidR="00060B6F" w:rsidRDefault="00060B6F" w:rsidP="00060B6F">
            <w:pPr>
              <w:pStyle w:val="ListParagraph"/>
              <w:ind w:left="153"/>
              <w:rPr>
                <w:color w:val="000000" w:themeColor="text1"/>
              </w:rPr>
            </w:pPr>
            <w:r>
              <w:rPr>
                <w:color w:val="000000" w:themeColor="text1"/>
              </w:rPr>
              <w:t>Offer the course in a combination of in-class and online work.</w:t>
            </w:r>
          </w:p>
          <w:p w:rsidR="00060B6F" w:rsidRDefault="00060B6F" w:rsidP="00060B6F">
            <w:pPr>
              <w:pStyle w:val="ListParagraph"/>
              <w:ind w:left="153"/>
              <w:rPr>
                <w:color w:val="000000" w:themeColor="text1"/>
              </w:rPr>
            </w:pPr>
          </w:p>
          <w:p w:rsidR="00C7791B" w:rsidRPr="00F56F98" w:rsidRDefault="00C7791B" w:rsidP="00E61929">
            <w:pPr>
              <w:pStyle w:val="ListParagraph"/>
              <w:ind w:left="153"/>
              <w:rPr>
                <w:color w:val="000000" w:themeColor="text1"/>
              </w:rPr>
            </w:pPr>
          </w:p>
        </w:tc>
        <w:tc>
          <w:tcPr>
            <w:tcW w:w="3294" w:type="dxa"/>
            <w:tcBorders>
              <w:left w:val="single" w:sz="4" w:space="0" w:color="auto"/>
              <w:right w:val="single" w:sz="6" w:space="0" w:color="auto"/>
            </w:tcBorders>
          </w:tcPr>
          <w:p w:rsidR="0016236E" w:rsidRDefault="00060B6F" w:rsidP="00C876CD">
            <w:pPr>
              <w:pStyle w:val="ListParagraph"/>
              <w:ind w:left="0" w:hanging="1"/>
              <w:rPr>
                <w:color w:val="000000" w:themeColor="text1"/>
              </w:rPr>
            </w:pPr>
            <w:r>
              <w:rPr>
                <w:color w:val="000000" w:themeColor="text1"/>
              </w:rPr>
              <w:t xml:space="preserve">Achieved. </w:t>
            </w:r>
          </w:p>
          <w:p w:rsidR="0016236E" w:rsidRDefault="0016236E" w:rsidP="00C876CD">
            <w:pPr>
              <w:pStyle w:val="ListParagraph"/>
              <w:ind w:left="0" w:hanging="1"/>
              <w:rPr>
                <w:color w:val="000000" w:themeColor="text1"/>
              </w:rPr>
            </w:pPr>
          </w:p>
          <w:p w:rsidR="0016236E" w:rsidRDefault="0016236E" w:rsidP="00C876CD">
            <w:pPr>
              <w:pStyle w:val="ListParagraph"/>
              <w:ind w:left="0" w:hanging="1"/>
              <w:rPr>
                <w:color w:val="000000" w:themeColor="text1"/>
              </w:rPr>
            </w:pPr>
            <w:r>
              <w:rPr>
                <w:color w:val="000000" w:themeColor="text1"/>
              </w:rPr>
              <w:t xml:space="preserve">Program faculty held several meetings with </w:t>
            </w:r>
            <w:r w:rsidR="004E5E1F">
              <w:rPr>
                <w:color w:val="000000" w:themeColor="text1"/>
              </w:rPr>
              <w:t>St. Clair</w:t>
            </w:r>
            <w:r>
              <w:rPr>
                <w:color w:val="000000" w:themeColor="text1"/>
              </w:rPr>
              <w:t xml:space="preserve">/Pell City high school administrators to discuss offering the CHD Basic Certificate (12 hour) program for </w:t>
            </w:r>
            <w:r w:rsidR="004E5E1F">
              <w:rPr>
                <w:color w:val="000000" w:themeColor="text1"/>
              </w:rPr>
              <w:t>St. Clair</w:t>
            </w:r>
            <w:r>
              <w:rPr>
                <w:color w:val="000000" w:themeColor="text1"/>
              </w:rPr>
              <w:t xml:space="preserve">/Pell dual enrollment students. CHD 100 </w:t>
            </w:r>
            <w:r w:rsidR="00715979">
              <w:rPr>
                <w:color w:val="000000" w:themeColor="text1"/>
              </w:rPr>
              <w:t xml:space="preserve">is </w:t>
            </w:r>
            <w:r>
              <w:rPr>
                <w:color w:val="000000" w:themeColor="text1"/>
              </w:rPr>
              <w:t xml:space="preserve">offered </w:t>
            </w:r>
            <w:r w:rsidR="00715979">
              <w:rPr>
                <w:color w:val="000000" w:themeColor="text1"/>
              </w:rPr>
              <w:t>F</w:t>
            </w:r>
            <w:r>
              <w:rPr>
                <w:color w:val="000000" w:themeColor="text1"/>
              </w:rPr>
              <w:t>all 2019 at the Eden Center</w:t>
            </w:r>
            <w:r w:rsidR="00AA7C3C">
              <w:rPr>
                <w:color w:val="000000" w:themeColor="text1"/>
              </w:rPr>
              <w:t xml:space="preserve"> as a hybrid</w:t>
            </w:r>
            <w:r>
              <w:rPr>
                <w:color w:val="000000" w:themeColor="text1"/>
              </w:rPr>
              <w:t xml:space="preserve">.  </w:t>
            </w:r>
          </w:p>
          <w:p w:rsidR="0016236E" w:rsidRDefault="0016236E" w:rsidP="00C876CD">
            <w:pPr>
              <w:pStyle w:val="ListParagraph"/>
              <w:ind w:left="0" w:hanging="1"/>
              <w:rPr>
                <w:color w:val="000000" w:themeColor="text1"/>
              </w:rPr>
            </w:pPr>
          </w:p>
          <w:p w:rsidR="0016236E" w:rsidRDefault="00715979" w:rsidP="00C876CD">
            <w:pPr>
              <w:pStyle w:val="ListParagraph"/>
              <w:ind w:left="0" w:hanging="1"/>
              <w:rPr>
                <w:color w:val="000000" w:themeColor="text1"/>
              </w:rPr>
            </w:pPr>
            <w:r>
              <w:rPr>
                <w:color w:val="000000" w:themeColor="text1"/>
              </w:rPr>
              <w:t>Fall 2018</w:t>
            </w:r>
            <w:r w:rsidR="00CB7920">
              <w:rPr>
                <w:color w:val="000000" w:themeColor="text1"/>
              </w:rPr>
              <w:t xml:space="preserve">, </w:t>
            </w:r>
            <w:r w:rsidR="0016236E">
              <w:rPr>
                <w:color w:val="000000" w:themeColor="text1"/>
              </w:rPr>
              <w:t xml:space="preserve">CHD 100 was offered at the Jefferson Campus for dual enrollment </w:t>
            </w:r>
            <w:r w:rsidR="00CB7920">
              <w:rPr>
                <w:color w:val="000000" w:themeColor="text1"/>
              </w:rPr>
              <w:t xml:space="preserve">dual credit </w:t>
            </w:r>
            <w:r w:rsidR="0016236E">
              <w:rPr>
                <w:color w:val="000000" w:themeColor="text1"/>
              </w:rPr>
              <w:t>students</w:t>
            </w:r>
            <w:r w:rsidR="00CB7920">
              <w:rPr>
                <w:color w:val="000000" w:themeColor="text1"/>
              </w:rPr>
              <w:t xml:space="preserve"> from Tarrant High, Shades Valley, and Pinson High Schools</w:t>
            </w:r>
            <w:r w:rsidR="00AA7C3C">
              <w:rPr>
                <w:color w:val="000000" w:themeColor="text1"/>
              </w:rPr>
              <w:t>.</w:t>
            </w:r>
          </w:p>
          <w:p w:rsidR="00AA7C3C" w:rsidRDefault="00AA7C3C" w:rsidP="00C876CD">
            <w:pPr>
              <w:pStyle w:val="ListParagraph"/>
              <w:ind w:left="0" w:hanging="1"/>
              <w:rPr>
                <w:color w:val="000000" w:themeColor="text1"/>
              </w:rPr>
            </w:pPr>
          </w:p>
          <w:p w:rsidR="0016236E" w:rsidRDefault="0016236E" w:rsidP="00C876CD">
            <w:pPr>
              <w:pStyle w:val="ListParagraph"/>
              <w:ind w:left="0" w:hanging="1"/>
              <w:rPr>
                <w:color w:val="000000" w:themeColor="text1"/>
              </w:rPr>
            </w:pPr>
            <w:r>
              <w:rPr>
                <w:color w:val="000000" w:themeColor="text1"/>
              </w:rPr>
              <w:t xml:space="preserve">Program faculty met with JSCC Office of Dual Enrollment to discuss offering CHD </w:t>
            </w:r>
            <w:r w:rsidR="00AA7C3C">
              <w:rPr>
                <w:color w:val="000000" w:themeColor="text1"/>
              </w:rPr>
              <w:t xml:space="preserve">100 for Parker High School dual enrollment students as a hybrid. </w:t>
            </w:r>
          </w:p>
          <w:p w:rsidR="0016236E" w:rsidRDefault="0016236E" w:rsidP="00C876CD">
            <w:pPr>
              <w:pStyle w:val="ListParagraph"/>
              <w:ind w:left="0" w:hanging="1"/>
              <w:rPr>
                <w:color w:val="000000" w:themeColor="text1"/>
              </w:rPr>
            </w:pPr>
          </w:p>
          <w:p w:rsidR="00057C9D" w:rsidRPr="00F56F98" w:rsidRDefault="00057C9D" w:rsidP="00C876CD">
            <w:pPr>
              <w:pStyle w:val="ListParagraph"/>
              <w:ind w:left="0" w:hanging="1"/>
              <w:rPr>
                <w:color w:val="000000" w:themeColor="text1"/>
              </w:rPr>
            </w:pPr>
          </w:p>
        </w:tc>
        <w:tc>
          <w:tcPr>
            <w:tcW w:w="3294" w:type="dxa"/>
            <w:tcBorders>
              <w:left w:val="single" w:sz="6" w:space="0" w:color="auto"/>
            </w:tcBorders>
          </w:tcPr>
          <w:p w:rsidR="00C7791B" w:rsidRPr="00F56F98" w:rsidRDefault="00057C9D" w:rsidP="00FB7112">
            <w:pPr>
              <w:pStyle w:val="ListParagraph"/>
              <w:ind w:left="135"/>
              <w:rPr>
                <w:color w:val="000000" w:themeColor="text1"/>
              </w:rPr>
            </w:pPr>
            <w:r>
              <w:rPr>
                <w:color w:val="000000" w:themeColor="text1"/>
              </w:rPr>
              <w:t>Program will continue to work with the Office of Dual Enrollment to meet area high school needs for eligible students.</w:t>
            </w:r>
          </w:p>
          <w:p w:rsidR="00C7791B" w:rsidRPr="00F56F98" w:rsidRDefault="00C7791B" w:rsidP="00FB7112">
            <w:pPr>
              <w:rPr>
                <w:color w:val="000000" w:themeColor="text1"/>
              </w:rPr>
            </w:pPr>
          </w:p>
        </w:tc>
      </w:tr>
      <w:tr w:rsidR="00057C9D" w:rsidTr="002A7776">
        <w:trPr>
          <w:trHeight w:val="54"/>
        </w:trPr>
        <w:tc>
          <w:tcPr>
            <w:tcW w:w="3294" w:type="dxa"/>
            <w:tcBorders>
              <w:right w:val="single" w:sz="6" w:space="0" w:color="auto"/>
            </w:tcBorders>
          </w:tcPr>
          <w:p w:rsidR="00057C9D" w:rsidRDefault="00057C9D" w:rsidP="002A7776">
            <w:pPr>
              <w:rPr>
                <w:color w:val="000000" w:themeColor="text1"/>
              </w:rPr>
            </w:pPr>
            <w:r>
              <w:rPr>
                <w:color w:val="000000" w:themeColor="text1"/>
              </w:rPr>
              <w:t>Continued improvement to interactive learning facilities/faculty resources</w:t>
            </w:r>
          </w:p>
        </w:tc>
        <w:tc>
          <w:tcPr>
            <w:tcW w:w="3294" w:type="dxa"/>
            <w:tcBorders>
              <w:left w:val="single" w:sz="6" w:space="0" w:color="auto"/>
              <w:right w:val="single" w:sz="4" w:space="0" w:color="auto"/>
            </w:tcBorders>
          </w:tcPr>
          <w:p w:rsidR="00057C9D" w:rsidRDefault="00057C9D" w:rsidP="00060B6F">
            <w:pPr>
              <w:pStyle w:val="ListParagraph"/>
              <w:ind w:left="153"/>
              <w:rPr>
                <w:color w:val="000000" w:themeColor="text1"/>
              </w:rPr>
            </w:pPr>
            <w:r>
              <w:rPr>
                <w:color w:val="000000" w:themeColor="text1"/>
              </w:rPr>
              <w:t>Maintain equipment and classrooms to best meet the needs of the students to include purchase of routine instructional and office supplies</w:t>
            </w:r>
          </w:p>
          <w:p w:rsidR="00057C9D" w:rsidRDefault="00057C9D" w:rsidP="00060B6F">
            <w:pPr>
              <w:pStyle w:val="ListParagraph"/>
              <w:ind w:left="153"/>
              <w:rPr>
                <w:color w:val="000000" w:themeColor="text1"/>
              </w:rPr>
            </w:pPr>
          </w:p>
          <w:p w:rsidR="00057C9D" w:rsidRDefault="00057C9D" w:rsidP="00060B6F">
            <w:pPr>
              <w:pStyle w:val="ListParagraph"/>
              <w:ind w:left="153"/>
              <w:rPr>
                <w:color w:val="000000" w:themeColor="text1"/>
              </w:rPr>
            </w:pPr>
            <w:r>
              <w:rPr>
                <w:color w:val="000000" w:themeColor="text1"/>
              </w:rPr>
              <w:lastRenderedPageBreak/>
              <w:t>Continue improvements to the student resource rooms at Jefferson and Shelby Campuses to include purchase of laminator, Ellison press dies;</w:t>
            </w:r>
          </w:p>
          <w:p w:rsidR="00057C9D" w:rsidRDefault="00057C9D" w:rsidP="00060B6F">
            <w:pPr>
              <w:pStyle w:val="ListParagraph"/>
              <w:ind w:left="153"/>
              <w:rPr>
                <w:color w:val="000000" w:themeColor="text1"/>
              </w:rPr>
            </w:pPr>
          </w:p>
          <w:p w:rsidR="00057C9D" w:rsidRDefault="00057C9D" w:rsidP="00060B6F">
            <w:pPr>
              <w:pStyle w:val="ListParagraph"/>
              <w:ind w:left="153"/>
              <w:rPr>
                <w:color w:val="000000" w:themeColor="text1"/>
              </w:rPr>
            </w:pPr>
            <w:r>
              <w:rPr>
                <w:color w:val="000000" w:themeColor="text1"/>
              </w:rPr>
              <w:t>Provide resources needed including faculty and classroom computers as needed</w:t>
            </w:r>
          </w:p>
        </w:tc>
        <w:tc>
          <w:tcPr>
            <w:tcW w:w="3294" w:type="dxa"/>
            <w:tcBorders>
              <w:left w:val="single" w:sz="4" w:space="0" w:color="auto"/>
              <w:right w:val="single" w:sz="6" w:space="0" w:color="auto"/>
            </w:tcBorders>
          </w:tcPr>
          <w:p w:rsidR="00057C9D" w:rsidRDefault="00C4272E" w:rsidP="00057C9D">
            <w:pPr>
              <w:pStyle w:val="ListParagraph"/>
              <w:ind w:left="0" w:hanging="1"/>
              <w:rPr>
                <w:color w:val="000000" w:themeColor="text1"/>
              </w:rPr>
            </w:pPr>
            <w:r>
              <w:rPr>
                <w:color w:val="000000" w:themeColor="text1"/>
              </w:rPr>
              <w:lastRenderedPageBreak/>
              <w:t>Instructional/office supplies were purchased.</w:t>
            </w:r>
          </w:p>
          <w:p w:rsidR="000A62AB" w:rsidRDefault="000A62AB" w:rsidP="00057C9D">
            <w:pPr>
              <w:pStyle w:val="ListParagraph"/>
              <w:ind w:left="0" w:hanging="1"/>
              <w:rPr>
                <w:color w:val="000000" w:themeColor="text1"/>
              </w:rPr>
            </w:pPr>
          </w:p>
          <w:p w:rsidR="000A62AB" w:rsidRDefault="000A62AB" w:rsidP="00057C9D">
            <w:pPr>
              <w:pStyle w:val="ListParagraph"/>
              <w:ind w:left="0" w:hanging="1"/>
              <w:rPr>
                <w:color w:val="000000" w:themeColor="text1"/>
              </w:rPr>
            </w:pPr>
            <w:r>
              <w:rPr>
                <w:color w:val="000000" w:themeColor="text1"/>
              </w:rPr>
              <w:t>The Laminator and Ellison Press Dies were not purchased.</w:t>
            </w:r>
          </w:p>
          <w:p w:rsidR="000A62AB" w:rsidRDefault="000A62AB" w:rsidP="00057C9D">
            <w:pPr>
              <w:pStyle w:val="ListParagraph"/>
              <w:ind w:left="0" w:hanging="1"/>
              <w:rPr>
                <w:color w:val="000000" w:themeColor="text1"/>
              </w:rPr>
            </w:pPr>
          </w:p>
          <w:p w:rsidR="000A62AB" w:rsidRDefault="000A62AB" w:rsidP="00057C9D">
            <w:pPr>
              <w:pStyle w:val="ListParagraph"/>
              <w:ind w:left="0" w:hanging="1"/>
              <w:rPr>
                <w:color w:val="000000" w:themeColor="text1"/>
              </w:rPr>
            </w:pPr>
            <w:r>
              <w:rPr>
                <w:color w:val="000000" w:themeColor="text1"/>
              </w:rPr>
              <w:lastRenderedPageBreak/>
              <w:t>No Faculty computers needed to be replaced.</w:t>
            </w:r>
          </w:p>
          <w:p w:rsidR="00C4272E" w:rsidRDefault="00C4272E" w:rsidP="00057C9D">
            <w:pPr>
              <w:pStyle w:val="ListParagraph"/>
              <w:ind w:left="0" w:hanging="1"/>
              <w:rPr>
                <w:color w:val="000000" w:themeColor="text1"/>
              </w:rPr>
            </w:pPr>
          </w:p>
          <w:p w:rsidR="00C4272E" w:rsidRDefault="00C4272E" w:rsidP="00057C9D">
            <w:pPr>
              <w:pStyle w:val="ListParagraph"/>
              <w:ind w:left="0" w:hanging="1"/>
              <w:rPr>
                <w:color w:val="000000" w:themeColor="text1"/>
              </w:rPr>
            </w:pPr>
          </w:p>
        </w:tc>
        <w:tc>
          <w:tcPr>
            <w:tcW w:w="3294" w:type="dxa"/>
            <w:tcBorders>
              <w:left w:val="single" w:sz="6" w:space="0" w:color="auto"/>
            </w:tcBorders>
          </w:tcPr>
          <w:p w:rsidR="00057C9D" w:rsidRDefault="000A62AB" w:rsidP="00FB7112">
            <w:pPr>
              <w:pStyle w:val="ListParagraph"/>
              <w:ind w:left="135"/>
              <w:rPr>
                <w:color w:val="000000" w:themeColor="text1"/>
              </w:rPr>
            </w:pPr>
            <w:r>
              <w:rPr>
                <w:color w:val="000000" w:themeColor="text1"/>
              </w:rPr>
              <w:lastRenderedPageBreak/>
              <w:t xml:space="preserve">The Program will continue to assess classroom and instructional needs. The Program currently has a laminator and Ellison Press at the Jefferson Campus, and an </w:t>
            </w:r>
            <w:r>
              <w:rPr>
                <w:color w:val="000000" w:themeColor="text1"/>
              </w:rPr>
              <w:lastRenderedPageBreak/>
              <w:t>Ellison press at the Shelby Campus. Students will use these items as needed to work on items for class and the program uses them to aid with creating announcements/bulletin boards. Currently the Program is not in need of the additional laminator and Ellison press but will evaluate the need later.</w:t>
            </w:r>
          </w:p>
        </w:tc>
      </w:tr>
      <w:tr w:rsidR="007C296E" w:rsidTr="002A7776">
        <w:trPr>
          <w:trHeight w:val="54"/>
        </w:trPr>
        <w:tc>
          <w:tcPr>
            <w:tcW w:w="3294" w:type="dxa"/>
            <w:tcBorders>
              <w:right w:val="single" w:sz="6" w:space="0" w:color="auto"/>
            </w:tcBorders>
          </w:tcPr>
          <w:p w:rsidR="00C7791B" w:rsidRPr="00287910" w:rsidRDefault="00C7791B" w:rsidP="002A7776">
            <w:pPr>
              <w:rPr>
                <w:color w:val="FF0000"/>
              </w:rPr>
            </w:pPr>
            <w:r w:rsidRPr="008B1A95">
              <w:rPr>
                <w:color w:val="000000" w:themeColor="text1"/>
              </w:rPr>
              <w:lastRenderedPageBreak/>
              <w:t>Expand professional community outreach to enhance student learning opportunities and program recruitment</w:t>
            </w:r>
          </w:p>
        </w:tc>
        <w:tc>
          <w:tcPr>
            <w:tcW w:w="3294" w:type="dxa"/>
            <w:tcBorders>
              <w:left w:val="single" w:sz="6" w:space="0" w:color="auto"/>
              <w:right w:val="single" w:sz="4" w:space="0" w:color="auto"/>
            </w:tcBorders>
          </w:tcPr>
          <w:p w:rsidR="00057C9D" w:rsidRDefault="00C7791B" w:rsidP="00057C9D">
            <w:pPr>
              <w:pStyle w:val="ListParagraph"/>
              <w:ind w:left="126"/>
              <w:rPr>
                <w:color w:val="000000" w:themeColor="text1"/>
              </w:rPr>
            </w:pPr>
            <w:r w:rsidRPr="00F56F98">
              <w:rPr>
                <w:color w:val="000000" w:themeColor="text1"/>
              </w:rPr>
              <w:t>Promot</w:t>
            </w:r>
            <w:r w:rsidR="00057C9D">
              <w:rPr>
                <w:color w:val="000000" w:themeColor="text1"/>
              </w:rPr>
              <w:t>e and implement Stepping Stones Workshop;</w:t>
            </w:r>
          </w:p>
          <w:p w:rsidR="00057C9D" w:rsidRDefault="00057C9D" w:rsidP="00057C9D">
            <w:pPr>
              <w:pStyle w:val="ListParagraph"/>
              <w:ind w:left="126"/>
              <w:rPr>
                <w:color w:val="000000" w:themeColor="text1"/>
              </w:rPr>
            </w:pPr>
          </w:p>
          <w:p w:rsidR="001C14A1" w:rsidRDefault="00057C9D" w:rsidP="00057C9D">
            <w:pPr>
              <w:pStyle w:val="ListParagraph"/>
              <w:ind w:left="126"/>
              <w:rPr>
                <w:color w:val="000000" w:themeColor="text1"/>
              </w:rPr>
            </w:pPr>
            <w:r>
              <w:rPr>
                <w:color w:val="000000" w:themeColor="text1"/>
              </w:rPr>
              <w:t xml:space="preserve">Faculty </w:t>
            </w:r>
            <w:r w:rsidR="001C14A1">
              <w:rPr>
                <w:color w:val="000000" w:themeColor="text1"/>
              </w:rPr>
              <w:t>serve in a variety of capacities in professional communities both state and local;</w:t>
            </w:r>
          </w:p>
          <w:p w:rsidR="001C14A1" w:rsidRDefault="001C14A1" w:rsidP="00057C9D">
            <w:pPr>
              <w:pStyle w:val="ListParagraph"/>
              <w:ind w:left="126"/>
              <w:rPr>
                <w:color w:val="000000" w:themeColor="text1"/>
              </w:rPr>
            </w:pPr>
          </w:p>
          <w:p w:rsidR="001C14A1" w:rsidRDefault="001C14A1" w:rsidP="00057C9D">
            <w:pPr>
              <w:pStyle w:val="ListParagraph"/>
              <w:ind w:left="126"/>
              <w:rPr>
                <w:color w:val="000000" w:themeColor="text1"/>
              </w:rPr>
            </w:pPr>
            <w:r>
              <w:rPr>
                <w:color w:val="000000" w:themeColor="text1"/>
              </w:rPr>
              <w:t>Complete bi-annual grant updates/reports for grants, if awarded</w:t>
            </w:r>
          </w:p>
          <w:p w:rsidR="001C14A1" w:rsidRDefault="001C14A1" w:rsidP="00057C9D">
            <w:pPr>
              <w:pStyle w:val="ListParagraph"/>
              <w:ind w:left="126"/>
              <w:rPr>
                <w:color w:val="000000" w:themeColor="text1"/>
              </w:rPr>
            </w:pPr>
          </w:p>
          <w:p w:rsidR="00A45EAE" w:rsidRPr="002C0F27" w:rsidRDefault="00A45EAE" w:rsidP="001C14A1">
            <w:pPr>
              <w:pStyle w:val="ListParagraph"/>
              <w:ind w:left="126"/>
              <w:rPr>
                <w:b/>
                <w:color w:val="000000" w:themeColor="text1"/>
              </w:rPr>
            </w:pPr>
          </w:p>
        </w:tc>
        <w:tc>
          <w:tcPr>
            <w:tcW w:w="3294" w:type="dxa"/>
            <w:tcBorders>
              <w:left w:val="single" w:sz="4" w:space="0" w:color="auto"/>
              <w:right w:val="single" w:sz="6" w:space="0" w:color="auto"/>
            </w:tcBorders>
          </w:tcPr>
          <w:p w:rsidR="001C14A1" w:rsidRDefault="001C14A1" w:rsidP="00A45EAE">
            <w:pPr>
              <w:rPr>
                <w:color w:val="000000" w:themeColor="text1"/>
              </w:rPr>
            </w:pPr>
            <w:r>
              <w:rPr>
                <w:color w:val="000000" w:themeColor="text1"/>
              </w:rPr>
              <w:t xml:space="preserve">Held the </w:t>
            </w:r>
            <w:r w:rsidR="000C32D1">
              <w:rPr>
                <w:color w:val="000000" w:themeColor="text1"/>
              </w:rPr>
              <w:t>4</w:t>
            </w:r>
            <w:r>
              <w:rPr>
                <w:color w:val="000000" w:themeColor="text1"/>
              </w:rPr>
              <w:t>2</w:t>
            </w:r>
            <w:r w:rsidRPr="001C14A1">
              <w:rPr>
                <w:color w:val="000000" w:themeColor="text1"/>
                <w:vertAlign w:val="superscript"/>
              </w:rPr>
              <w:t>nd</w:t>
            </w:r>
            <w:r w:rsidR="00084527">
              <w:rPr>
                <w:color w:val="000000" w:themeColor="text1"/>
              </w:rPr>
              <w:t xml:space="preserve"> Annual </w:t>
            </w:r>
            <w:r w:rsidR="00C7791B">
              <w:rPr>
                <w:color w:val="000000" w:themeColor="text1"/>
              </w:rPr>
              <w:t xml:space="preserve">Stepping Stones </w:t>
            </w:r>
            <w:r w:rsidR="00D32C76">
              <w:rPr>
                <w:color w:val="000000" w:themeColor="text1"/>
              </w:rPr>
              <w:t>Conference</w:t>
            </w:r>
            <w:r>
              <w:rPr>
                <w:color w:val="000000" w:themeColor="text1"/>
              </w:rPr>
              <w:t xml:space="preserve"> at the Shelby Campus; guest speaker Dr. Kimberly Johnson, Saturday July 20, 2019</w:t>
            </w:r>
            <w:r w:rsidR="001C6A13">
              <w:rPr>
                <w:color w:val="000000" w:themeColor="text1"/>
              </w:rPr>
              <w:t>;</w:t>
            </w:r>
            <w:r w:rsidR="001E4D22">
              <w:rPr>
                <w:color w:val="000000" w:themeColor="text1"/>
              </w:rPr>
              <w:t xml:space="preserve"> approxima</w:t>
            </w:r>
            <w:r w:rsidR="001C6A13">
              <w:rPr>
                <w:color w:val="000000" w:themeColor="text1"/>
              </w:rPr>
              <w:t>tely</w:t>
            </w:r>
            <w:r w:rsidR="001E4D22">
              <w:rPr>
                <w:color w:val="000000" w:themeColor="text1"/>
              </w:rPr>
              <w:t xml:space="preserve"> 89 registrants</w:t>
            </w:r>
            <w:r w:rsidR="001C6A13">
              <w:rPr>
                <w:color w:val="000000" w:themeColor="text1"/>
              </w:rPr>
              <w:t xml:space="preserve">, </w:t>
            </w:r>
            <w:r w:rsidR="001E4D22">
              <w:rPr>
                <w:color w:val="000000" w:themeColor="text1"/>
              </w:rPr>
              <w:t>10 different vendors, and 18 presenters.</w:t>
            </w:r>
          </w:p>
          <w:p w:rsidR="001C6A13" w:rsidRDefault="001C6A13" w:rsidP="00A45EAE">
            <w:pPr>
              <w:rPr>
                <w:color w:val="000000" w:themeColor="text1"/>
              </w:rPr>
            </w:pPr>
          </w:p>
          <w:p w:rsidR="001C6A13" w:rsidRDefault="001C6A13" w:rsidP="00A45EAE">
            <w:pPr>
              <w:rPr>
                <w:color w:val="000000" w:themeColor="text1"/>
              </w:rPr>
            </w:pPr>
            <w:r>
              <w:rPr>
                <w:color w:val="000000" w:themeColor="text1"/>
              </w:rPr>
              <w:t xml:space="preserve">Hosted the </w:t>
            </w:r>
            <w:r w:rsidR="00BF006F">
              <w:rPr>
                <w:color w:val="000000" w:themeColor="text1"/>
              </w:rPr>
              <w:t>Washington</w:t>
            </w:r>
            <w:r w:rsidR="008D29F1">
              <w:rPr>
                <w:color w:val="000000" w:themeColor="text1"/>
              </w:rPr>
              <w:t>,</w:t>
            </w:r>
            <w:r w:rsidR="00BF006F">
              <w:rPr>
                <w:color w:val="000000" w:themeColor="text1"/>
              </w:rPr>
              <w:t xml:space="preserve"> DC </w:t>
            </w:r>
            <w:r>
              <w:rPr>
                <w:color w:val="000000" w:themeColor="text1"/>
              </w:rPr>
              <w:t>CDA Council Board, Washington, DC meeting at Shelby Campus.</w:t>
            </w:r>
          </w:p>
          <w:p w:rsidR="001C6A13" w:rsidRDefault="001C6A13" w:rsidP="00A45EAE">
            <w:pPr>
              <w:rPr>
                <w:color w:val="000000" w:themeColor="text1"/>
              </w:rPr>
            </w:pPr>
          </w:p>
          <w:p w:rsidR="001C6A13" w:rsidRDefault="001C6A13" w:rsidP="00A45EAE">
            <w:pPr>
              <w:rPr>
                <w:color w:val="000000" w:themeColor="text1"/>
              </w:rPr>
            </w:pPr>
            <w:r>
              <w:rPr>
                <w:color w:val="000000" w:themeColor="text1"/>
              </w:rPr>
              <w:t>Faculty participated in/member of the following committees/groups:</w:t>
            </w:r>
          </w:p>
          <w:p w:rsidR="001C6A13" w:rsidRDefault="001C6A13" w:rsidP="00A45EAE">
            <w:pPr>
              <w:rPr>
                <w:color w:val="000000" w:themeColor="text1"/>
              </w:rPr>
            </w:pPr>
            <w:r>
              <w:rPr>
                <w:color w:val="000000" w:themeColor="text1"/>
              </w:rPr>
              <w:t>Alabama Department of Early Childhood Advisory; ACCS Child Development Program Committee; Alabama PreK Advisory; TEACH Advisory, EACA Head Start Advisory; Family Child Care Project Committee; AITPDN partnership with DHR.</w:t>
            </w:r>
          </w:p>
          <w:p w:rsidR="008D29F1" w:rsidRDefault="008D29F1" w:rsidP="00A45EAE">
            <w:pPr>
              <w:rPr>
                <w:color w:val="000000" w:themeColor="text1"/>
              </w:rPr>
            </w:pPr>
          </w:p>
          <w:p w:rsidR="008D29F1" w:rsidRDefault="008D29F1" w:rsidP="00A45EAE">
            <w:pPr>
              <w:rPr>
                <w:color w:val="000000" w:themeColor="text1"/>
              </w:rPr>
            </w:pPr>
            <w:r>
              <w:rPr>
                <w:color w:val="000000" w:themeColor="text1"/>
              </w:rPr>
              <w:t>Program continued to implement the AITPDN Contract in partnership with DHR</w:t>
            </w:r>
          </w:p>
          <w:p w:rsidR="008D29F1" w:rsidRDefault="008D29F1" w:rsidP="00A45EAE">
            <w:pPr>
              <w:rPr>
                <w:color w:val="000000" w:themeColor="text1"/>
              </w:rPr>
            </w:pPr>
          </w:p>
          <w:p w:rsidR="008D29F1" w:rsidRDefault="008D29F1" w:rsidP="00A45EAE">
            <w:pPr>
              <w:rPr>
                <w:color w:val="000000" w:themeColor="text1"/>
              </w:rPr>
            </w:pPr>
            <w:r>
              <w:rPr>
                <w:color w:val="000000" w:themeColor="text1"/>
              </w:rPr>
              <w:lastRenderedPageBreak/>
              <w:t xml:space="preserve">Program continued partner with JCCEO </w:t>
            </w:r>
            <w:r w:rsidR="00CE31A2">
              <w:rPr>
                <w:color w:val="000000" w:themeColor="text1"/>
              </w:rPr>
              <w:t>to offer on-site CHD classes</w:t>
            </w:r>
          </w:p>
          <w:p w:rsidR="001C14A1" w:rsidRDefault="001C14A1" w:rsidP="00A45EAE">
            <w:pPr>
              <w:rPr>
                <w:color w:val="000000" w:themeColor="text1"/>
              </w:rPr>
            </w:pPr>
          </w:p>
          <w:p w:rsidR="00A45EAE" w:rsidRPr="00F56F98" w:rsidRDefault="00C7791B" w:rsidP="001E4D22">
            <w:pPr>
              <w:rPr>
                <w:color w:val="000000" w:themeColor="text1"/>
              </w:rPr>
            </w:pPr>
            <w:r>
              <w:rPr>
                <w:color w:val="000000" w:themeColor="text1"/>
              </w:rPr>
              <w:t xml:space="preserve"> </w:t>
            </w:r>
          </w:p>
        </w:tc>
        <w:tc>
          <w:tcPr>
            <w:tcW w:w="3294" w:type="dxa"/>
            <w:tcBorders>
              <w:left w:val="single" w:sz="6" w:space="0" w:color="auto"/>
            </w:tcBorders>
          </w:tcPr>
          <w:p w:rsidR="00CE31A2" w:rsidRDefault="001C6A13" w:rsidP="001C6A13">
            <w:r>
              <w:lastRenderedPageBreak/>
              <w:t xml:space="preserve">Program will continue to work closely with the </w:t>
            </w:r>
            <w:r w:rsidR="00CE31A2">
              <w:t>p</w:t>
            </w:r>
            <w:r>
              <w:t>rofessional community</w:t>
            </w:r>
            <w:r w:rsidR="00CE31A2">
              <w:t>, governmental agencies, childcare centers and others</w:t>
            </w:r>
            <w:r>
              <w:t xml:space="preserve"> to further enhance and develop the Child Development Program</w:t>
            </w:r>
            <w:r w:rsidR="00CE31A2">
              <w:t>, and to meet the needs for quality child care.</w:t>
            </w:r>
          </w:p>
          <w:p w:rsidR="001C6A13" w:rsidRPr="001C6A13" w:rsidRDefault="001C6A13" w:rsidP="001C6A13"/>
        </w:tc>
      </w:tr>
      <w:tr w:rsidR="00C7791B" w:rsidTr="002A7776">
        <w:tc>
          <w:tcPr>
            <w:tcW w:w="6588" w:type="dxa"/>
            <w:gridSpan w:val="2"/>
            <w:tcBorders>
              <w:right w:val="single" w:sz="4" w:space="0" w:color="auto"/>
            </w:tcBorders>
          </w:tcPr>
          <w:p w:rsidR="00C7791B" w:rsidRPr="002A44E2" w:rsidRDefault="00C7791B" w:rsidP="002A7776">
            <w:pPr>
              <w:rPr>
                <w:sz w:val="12"/>
                <w:szCs w:val="12"/>
              </w:rPr>
            </w:pPr>
          </w:p>
          <w:p w:rsidR="00C7791B" w:rsidRPr="002A44E2" w:rsidRDefault="00C7791B" w:rsidP="002A7776">
            <w:pPr>
              <w:rPr>
                <w:b/>
                <w:sz w:val="12"/>
                <w:szCs w:val="12"/>
              </w:rPr>
            </w:pPr>
          </w:p>
          <w:p w:rsidR="00C7791B" w:rsidRDefault="00C7791B" w:rsidP="002A7776">
            <w:r>
              <w:rPr>
                <w:b/>
              </w:rPr>
              <w:t>S</w:t>
            </w:r>
            <w:r w:rsidRPr="00D554AC">
              <w:rPr>
                <w:b/>
              </w:rPr>
              <w:t>ubmission date:</w:t>
            </w:r>
            <w:r w:rsidR="001344A0">
              <w:rPr>
                <w:b/>
              </w:rPr>
              <w:t xml:space="preserve">  </w:t>
            </w:r>
            <w:r w:rsidR="000A62AB">
              <w:rPr>
                <w:b/>
              </w:rPr>
              <w:t>August 27, 2019</w:t>
            </w:r>
          </w:p>
        </w:tc>
        <w:tc>
          <w:tcPr>
            <w:tcW w:w="6588" w:type="dxa"/>
            <w:gridSpan w:val="2"/>
            <w:tcBorders>
              <w:left w:val="single" w:sz="4" w:space="0" w:color="auto"/>
            </w:tcBorders>
          </w:tcPr>
          <w:p w:rsidR="00C7791B" w:rsidRPr="00490115" w:rsidRDefault="00C7791B" w:rsidP="002A7776">
            <w:pPr>
              <w:rPr>
                <w:sz w:val="12"/>
                <w:szCs w:val="12"/>
              </w:rPr>
            </w:pPr>
          </w:p>
          <w:p w:rsidR="00C7791B" w:rsidRPr="00490115" w:rsidRDefault="00C7791B" w:rsidP="002A7776">
            <w:pPr>
              <w:rPr>
                <w:sz w:val="12"/>
                <w:szCs w:val="12"/>
              </w:rPr>
            </w:pPr>
          </w:p>
          <w:p w:rsidR="00C7791B" w:rsidRPr="00A6155C" w:rsidRDefault="00C7791B" w:rsidP="002A7776">
            <w:r w:rsidRPr="00102B7D">
              <w:rPr>
                <w:b/>
              </w:rPr>
              <w:t>Submitted by:</w:t>
            </w:r>
            <w:r w:rsidR="00A6155C">
              <w:rPr>
                <w:b/>
              </w:rPr>
              <w:t xml:space="preserve">  </w:t>
            </w:r>
            <w:r w:rsidR="000A62AB">
              <w:rPr>
                <w:b/>
              </w:rPr>
              <w:t>Cindy Shackelford/Norma Bell</w:t>
            </w:r>
          </w:p>
          <w:p w:rsidR="00C7791B" w:rsidRPr="002A44E2" w:rsidRDefault="00C7791B" w:rsidP="002A7776">
            <w:pPr>
              <w:rPr>
                <w:b/>
                <w:sz w:val="8"/>
                <w:szCs w:val="8"/>
              </w:rPr>
            </w:pPr>
          </w:p>
        </w:tc>
      </w:tr>
    </w:tbl>
    <w:p w:rsidR="000037AB" w:rsidRDefault="000037AB" w:rsidP="000037AB"/>
    <w:sectPr w:rsidR="000037AB" w:rsidSect="00105F69">
      <w:footerReference w:type="default" r:id="rId9"/>
      <w:pgSz w:w="15840" w:h="12240" w:orient="landscape"/>
      <w:pgMar w:top="720"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E6D" w:rsidRDefault="00133E6D" w:rsidP="00A77932">
      <w:pPr>
        <w:spacing w:after="0" w:line="240" w:lineRule="auto"/>
      </w:pPr>
      <w:r>
        <w:separator/>
      </w:r>
    </w:p>
  </w:endnote>
  <w:endnote w:type="continuationSeparator" w:id="0">
    <w:p w:rsidR="00133E6D" w:rsidRDefault="00133E6D"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659" w:rsidRDefault="00410659" w:rsidP="00A77932">
    <w:pPr>
      <w:pStyle w:val="Footer"/>
      <w:jc w:val="right"/>
    </w:pPr>
    <w:r>
      <w:t>June 2012</w:t>
    </w:r>
  </w:p>
  <w:p w:rsidR="00410659" w:rsidRDefault="00410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E6D" w:rsidRDefault="00133E6D" w:rsidP="00A77932">
      <w:pPr>
        <w:spacing w:after="0" w:line="240" w:lineRule="auto"/>
      </w:pPr>
      <w:r>
        <w:separator/>
      </w:r>
    </w:p>
  </w:footnote>
  <w:footnote w:type="continuationSeparator" w:id="0">
    <w:p w:rsidR="00133E6D" w:rsidRDefault="00133E6D"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AD48A6"/>
    <w:multiLevelType w:val="hybridMultilevel"/>
    <w:tmpl w:val="AB3A5626"/>
    <w:lvl w:ilvl="0" w:tplc="11483792">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C16D47"/>
    <w:multiLevelType w:val="hybridMultilevel"/>
    <w:tmpl w:val="1A6017F0"/>
    <w:lvl w:ilvl="0" w:tplc="2EBC2F2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A136F"/>
    <w:multiLevelType w:val="hybridMultilevel"/>
    <w:tmpl w:val="9E8A97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A8"/>
    <w:rsid w:val="00001FDF"/>
    <w:rsid w:val="00002CD7"/>
    <w:rsid w:val="000037AB"/>
    <w:rsid w:val="000070A6"/>
    <w:rsid w:val="00010F7B"/>
    <w:rsid w:val="000204F0"/>
    <w:rsid w:val="00057C9D"/>
    <w:rsid w:val="00060B6F"/>
    <w:rsid w:val="000728A8"/>
    <w:rsid w:val="00084527"/>
    <w:rsid w:val="000A62AB"/>
    <w:rsid w:val="000C32D1"/>
    <w:rsid w:val="000C38AA"/>
    <w:rsid w:val="000E15F4"/>
    <w:rsid w:val="00102B7D"/>
    <w:rsid w:val="00105B4A"/>
    <w:rsid w:val="00105F69"/>
    <w:rsid w:val="00130E8B"/>
    <w:rsid w:val="00133E6D"/>
    <w:rsid w:val="001344A0"/>
    <w:rsid w:val="0016236E"/>
    <w:rsid w:val="00166CA1"/>
    <w:rsid w:val="00170CE7"/>
    <w:rsid w:val="001850D1"/>
    <w:rsid w:val="001A078B"/>
    <w:rsid w:val="001A778A"/>
    <w:rsid w:val="001B452C"/>
    <w:rsid w:val="001B5C12"/>
    <w:rsid w:val="001C14A1"/>
    <w:rsid w:val="001C6A13"/>
    <w:rsid w:val="001D0967"/>
    <w:rsid w:val="001E4D22"/>
    <w:rsid w:val="001F571B"/>
    <w:rsid w:val="00200D78"/>
    <w:rsid w:val="00215F8A"/>
    <w:rsid w:val="00223D12"/>
    <w:rsid w:val="002252D9"/>
    <w:rsid w:val="00225F03"/>
    <w:rsid w:val="00255451"/>
    <w:rsid w:val="00270A95"/>
    <w:rsid w:val="00282FCA"/>
    <w:rsid w:val="00287910"/>
    <w:rsid w:val="002A44E2"/>
    <w:rsid w:val="002A47BE"/>
    <w:rsid w:val="002A5A7A"/>
    <w:rsid w:val="002B1244"/>
    <w:rsid w:val="002B40A4"/>
    <w:rsid w:val="002C0F27"/>
    <w:rsid w:val="002C6037"/>
    <w:rsid w:val="002D3CB9"/>
    <w:rsid w:val="002E4822"/>
    <w:rsid w:val="002F4F99"/>
    <w:rsid w:val="00326CFB"/>
    <w:rsid w:val="00334C9A"/>
    <w:rsid w:val="00340278"/>
    <w:rsid w:val="00340A60"/>
    <w:rsid w:val="0034594C"/>
    <w:rsid w:val="0036272C"/>
    <w:rsid w:val="00375081"/>
    <w:rsid w:val="0038386C"/>
    <w:rsid w:val="00386C79"/>
    <w:rsid w:val="00390503"/>
    <w:rsid w:val="00396805"/>
    <w:rsid w:val="00397D38"/>
    <w:rsid w:val="003C5886"/>
    <w:rsid w:val="00410659"/>
    <w:rsid w:val="00441D61"/>
    <w:rsid w:val="00475B4D"/>
    <w:rsid w:val="0048789E"/>
    <w:rsid w:val="00490115"/>
    <w:rsid w:val="004B2421"/>
    <w:rsid w:val="004B5050"/>
    <w:rsid w:val="004B78D6"/>
    <w:rsid w:val="004E0D9E"/>
    <w:rsid w:val="004E5E1F"/>
    <w:rsid w:val="00500CE7"/>
    <w:rsid w:val="00503931"/>
    <w:rsid w:val="005163F6"/>
    <w:rsid w:val="00526591"/>
    <w:rsid w:val="00536017"/>
    <w:rsid w:val="00537EA7"/>
    <w:rsid w:val="00544E79"/>
    <w:rsid w:val="00553160"/>
    <w:rsid w:val="0055553E"/>
    <w:rsid w:val="00577E86"/>
    <w:rsid w:val="00586E5E"/>
    <w:rsid w:val="005A006D"/>
    <w:rsid w:val="005B6826"/>
    <w:rsid w:val="005C68C4"/>
    <w:rsid w:val="005F1F50"/>
    <w:rsid w:val="005F6DF4"/>
    <w:rsid w:val="005F7676"/>
    <w:rsid w:val="006044AA"/>
    <w:rsid w:val="0063529A"/>
    <w:rsid w:val="00642B72"/>
    <w:rsid w:val="00656D67"/>
    <w:rsid w:val="00656ED6"/>
    <w:rsid w:val="006625C0"/>
    <w:rsid w:val="0067197F"/>
    <w:rsid w:val="00682B1E"/>
    <w:rsid w:val="00691FF1"/>
    <w:rsid w:val="006A72C4"/>
    <w:rsid w:val="006C0520"/>
    <w:rsid w:val="006C3834"/>
    <w:rsid w:val="006C5930"/>
    <w:rsid w:val="006D1AD2"/>
    <w:rsid w:val="006E4DD9"/>
    <w:rsid w:val="00711DD9"/>
    <w:rsid w:val="00715979"/>
    <w:rsid w:val="00722963"/>
    <w:rsid w:val="0073165B"/>
    <w:rsid w:val="0074269C"/>
    <w:rsid w:val="007438D0"/>
    <w:rsid w:val="007469CA"/>
    <w:rsid w:val="007776C8"/>
    <w:rsid w:val="00780805"/>
    <w:rsid w:val="007960DB"/>
    <w:rsid w:val="0079697B"/>
    <w:rsid w:val="00796E4D"/>
    <w:rsid w:val="00797138"/>
    <w:rsid w:val="007A0271"/>
    <w:rsid w:val="007A555C"/>
    <w:rsid w:val="007C296E"/>
    <w:rsid w:val="007E1D52"/>
    <w:rsid w:val="008158D7"/>
    <w:rsid w:val="0081653C"/>
    <w:rsid w:val="008178D8"/>
    <w:rsid w:val="00827FED"/>
    <w:rsid w:val="00853D98"/>
    <w:rsid w:val="0085499B"/>
    <w:rsid w:val="0087024F"/>
    <w:rsid w:val="008705E1"/>
    <w:rsid w:val="0089061A"/>
    <w:rsid w:val="00891F7D"/>
    <w:rsid w:val="008A3BC9"/>
    <w:rsid w:val="008B044F"/>
    <w:rsid w:val="008B0E3A"/>
    <w:rsid w:val="008B1A95"/>
    <w:rsid w:val="008D0174"/>
    <w:rsid w:val="008D29F1"/>
    <w:rsid w:val="008E365C"/>
    <w:rsid w:val="008F5958"/>
    <w:rsid w:val="008F6132"/>
    <w:rsid w:val="00912709"/>
    <w:rsid w:val="00920C98"/>
    <w:rsid w:val="009255F8"/>
    <w:rsid w:val="00935652"/>
    <w:rsid w:val="00951A95"/>
    <w:rsid w:val="00953477"/>
    <w:rsid w:val="009706A3"/>
    <w:rsid w:val="00973242"/>
    <w:rsid w:val="009C2DC1"/>
    <w:rsid w:val="009E1B02"/>
    <w:rsid w:val="00A11C2F"/>
    <w:rsid w:val="00A31A04"/>
    <w:rsid w:val="00A45EAE"/>
    <w:rsid w:val="00A6155C"/>
    <w:rsid w:val="00A77932"/>
    <w:rsid w:val="00A97BE8"/>
    <w:rsid w:val="00AA7C3C"/>
    <w:rsid w:val="00AD33CB"/>
    <w:rsid w:val="00AF77A8"/>
    <w:rsid w:val="00B132CE"/>
    <w:rsid w:val="00B333F1"/>
    <w:rsid w:val="00B61221"/>
    <w:rsid w:val="00B67ED8"/>
    <w:rsid w:val="00B81C69"/>
    <w:rsid w:val="00B848CF"/>
    <w:rsid w:val="00B93086"/>
    <w:rsid w:val="00BB2AB9"/>
    <w:rsid w:val="00BB4B63"/>
    <w:rsid w:val="00BE6D4E"/>
    <w:rsid w:val="00BF006F"/>
    <w:rsid w:val="00C01FEB"/>
    <w:rsid w:val="00C15006"/>
    <w:rsid w:val="00C30D9C"/>
    <w:rsid w:val="00C4272E"/>
    <w:rsid w:val="00C453FF"/>
    <w:rsid w:val="00C52933"/>
    <w:rsid w:val="00C60639"/>
    <w:rsid w:val="00C60F10"/>
    <w:rsid w:val="00C621DB"/>
    <w:rsid w:val="00C64D9A"/>
    <w:rsid w:val="00C75001"/>
    <w:rsid w:val="00C7791B"/>
    <w:rsid w:val="00C876CD"/>
    <w:rsid w:val="00C92B57"/>
    <w:rsid w:val="00CA5409"/>
    <w:rsid w:val="00CA7678"/>
    <w:rsid w:val="00CB337C"/>
    <w:rsid w:val="00CB7920"/>
    <w:rsid w:val="00CC1117"/>
    <w:rsid w:val="00CC6702"/>
    <w:rsid w:val="00CD50DE"/>
    <w:rsid w:val="00CE31A2"/>
    <w:rsid w:val="00CF1CDF"/>
    <w:rsid w:val="00D00EA7"/>
    <w:rsid w:val="00D07CD0"/>
    <w:rsid w:val="00D275C8"/>
    <w:rsid w:val="00D32C76"/>
    <w:rsid w:val="00D360E7"/>
    <w:rsid w:val="00D554AC"/>
    <w:rsid w:val="00D714B2"/>
    <w:rsid w:val="00D841A2"/>
    <w:rsid w:val="00D87727"/>
    <w:rsid w:val="00D9067F"/>
    <w:rsid w:val="00D9700C"/>
    <w:rsid w:val="00DA1674"/>
    <w:rsid w:val="00DA439B"/>
    <w:rsid w:val="00DA5751"/>
    <w:rsid w:val="00DB6AE8"/>
    <w:rsid w:val="00DB7453"/>
    <w:rsid w:val="00DC15CD"/>
    <w:rsid w:val="00DD43CE"/>
    <w:rsid w:val="00E16568"/>
    <w:rsid w:val="00E30D7A"/>
    <w:rsid w:val="00E40662"/>
    <w:rsid w:val="00E5003B"/>
    <w:rsid w:val="00E61929"/>
    <w:rsid w:val="00E711AF"/>
    <w:rsid w:val="00E74E53"/>
    <w:rsid w:val="00E901AF"/>
    <w:rsid w:val="00EB43F8"/>
    <w:rsid w:val="00F137FD"/>
    <w:rsid w:val="00F14ED0"/>
    <w:rsid w:val="00F2640A"/>
    <w:rsid w:val="00F3124E"/>
    <w:rsid w:val="00F422E6"/>
    <w:rsid w:val="00F438DE"/>
    <w:rsid w:val="00F73393"/>
    <w:rsid w:val="00F96341"/>
    <w:rsid w:val="00FD2C30"/>
    <w:rsid w:val="00FD6A04"/>
    <w:rsid w:val="00FE4491"/>
    <w:rsid w:val="00FE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85E37-407A-4F18-8037-2946B155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 w:type="paragraph" w:styleId="NormalWeb">
    <w:name w:val="Normal (Web)"/>
    <w:basedOn w:val="Normal"/>
    <w:rsid w:val="00DB6AE8"/>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552244">
      <w:bodyDiv w:val="1"/>
      <w:marLeft w:val="0"/>
      <w:marRight w:val="0"/>
      <w:marTop w:val="0"/>
      <w:marBottom w:val="0"/>
      <w:divBdr>
        <w:top w:val="none" w:sz="0" w:space="0" w:color="auto"/>
        <w:left w:val="none" w:sz="0" w:space="0" w:color="auto"/>
        <w:bottom w:val="none" w:sz="0" w:space="0" w:color="auto"/>
        <w:right w:val="none" w:sz="0" w:space="0" w:color="auto"/>
      </w:divBdr>
      <w:divsChild>
        <w:div w:id="1713916333">
          <w:marLeft w:val="0"/>
          <w:marRight w:val="0"/>
          <w:marTop w:val="0"/>
          <w:marBottom w:val="0"/>
          <w:divBdr>
            <w:top w:val="none" w:sz="0" w:space="0" w:color="auto"/>
            <w:left w:val="none" w:sz="0" w:space="0" w:color="auto"/>
            <w:bottom w:val="none" w:sz="0" w:space="0" w:color="auto"/>
            <w:right w:val="none" w:sz="0" w:space="0" w:color="auto"/>
          </w:divBdr>
          <w:divsChild>
            <w:div w:id="172114367">
              <w:marLeft w:val="0"/>
              <w:marRight w:val="0"/>
              <w:marTop w:val="0"/>
              <w:marBottom w:val="0"/>
              <w:divBdr>
                <w:top w:val="none" w:sz="0" w:space="0" w:color="auto"/>
                <w:left w:val="none" w:sz="0" w:space="0" w:color="auto"/>
                <w:bottom w:val="none" w:sz="0" w:space="0" w:color="auto"/>
                <w:right w:val="none" w:sz="0" w:space="0" w:color="auto"/>
              </w:divBdr>
              <w:divsChild>
                <w:div w:id="35591707">
                  <w:marLeft w:val="0"/>
                  <w:marRight w:val="0"/>
                  <w:marTop w:val="0"/>
                  <w:marBottom w:val="0"/>
                  <w:divBdr>
                    <w:top w:val="none" w:sz="0" w:space="0" w:color="auto"/>
                    <w:left w:val="none" w:sz="0" w:space="0" w:color="auto"/>
                    <w:bottom w:val="none" w:sz="0" w:space="0" w:color="auto"/>
                    <w:right w:val="none" w:sz="0" w:space="0" w:color="auto"/>
                  </w:divBdr>
                  <w:divsChild>
                    <w:div w:id="1091316118">
                      <w:marLeft w:val="0"/>
                      <w:marRight w:val="0"/>
                      <w:marTop w:val="0"/>
                      <w:marBottom w:val="0"/>
                      <w:divBdr>
                        <w:top w:val="none" w:sz="0" w:space="0" w:color="auto"/>
                        <w:left w:val="none" w:sz="0" w:space="0" w:color="auto"/>
                        <w:bottom w:val="none" w:sz="0" w:space="0" w:color="auto"/>
                        <w:right w:val="none" w:sz="0" w:space="0" w:color="auto"/>
                      </w:divBdr>
                      <w:divsChild>
                        <w:div w:id="133060833">
                          <w:marLeft w:val="0"/>
                          <w:marRight w:val="0"/>
                          <w:marTop w:val="0"/>
                          <w:marBottom w:val="1050"/>
                          <w:divBdr>
                            <w:top w:val="none" w:sz="0" w:space="0" w:color="auto"/>
                            <w:left w:val="none" w:sz="0" w:space="0" w:color="auto"/>
                            <w:bottom w:val="none" w:sz="0" w:space="0" w:color="auto"/>
                            <w:right w:val="none" w:sz="0" w:space="0" w:color="auto"/>
                          </w:divBdr>
                          <w:divsChild>
                            <w:div w:id="1705672269">
                              <w:marLeft w:val="0"/>
                              <w:marRight w:val="0"/>
                              <w:marTop w:val="0"/>
                              <w:marBottom w:val="0"/>
                              <w:divBdr>
                                <w:top w:val="none" w:sz="0" w:space="0" w:color="auto"/>
                                <w:left w:val="none" w:sz="0" w:space="0" w:color="auto"/>
                                <w:bottom w:val="none" w:sz="0" w:space="0" w:color="auto"/>
                                <w:right w:val="none" w:sz="0" w:space="0" w:color="auto"/>
                              </w:divBdr>
                              <w:divsChild>
                                <w:div w:id="91517856">
                                  <w:marLeft w:val="0"/>
                                  <w:marRight w:val="0"/>
                                  <w:marTop w:val="0"/>
                                  <w:marBottom w:val="0"/>
                                  <w:divBdr>
                                    <w:top w:val="none" w:sz="0" w:space="0" w:color="auto"/>
                                    <w:left w:val="none" w:sz="0" w:space="0" w:color="auto"/>
                                    <w:bottom w:val="none" w:sz="0" w:space="0" w:color="auto"/>
                                    <w:right w:val="none" w:sz="0" w:space="0" w:color="auto"/>
                                  </w:divBdr>
                                  <w:divsChild>
                                    <w:div w:id="964119003">
                                      <w:marLeft w:val="0"/>
                                      <w:marRight w:val="0"/>
                                      <w:marTop w:val="0"/>
                                      <w:marBottom w:val="0"/>
                                      <w:divBdr>
                                        <w:top w:val="none" w:sz="0" w:space="0" w:color="auto"/>
                                        <w:left w:val="none" w:sz="0" w:space="0" w:color="auto"/>
                                        <w:bottom w:val="none" w:sz="0" w:space="0" w:color="auto"/>
                                        <w:right w:val="none" w:sz="0" w:space="0" w:color="auto"/>
                                      </w:divBdr>
                                      <w:divsChild>
                                        <w:div w:id="1024087981">
                                          <w:marLeft w:val="0"/>
                                          <w:marRight w:val="0"/>
                                          <w:marTop w:val="150"/>
                                          <w:marBottom w:val="300"/>
                                          <w:divBdr>
                                            <w:top w:val="none" w:sz="0" w:space="0" w:color="auto"/>
                                            <w:left w:val="none" w:sz="0" w:space="0" w:color="auto"/>
                                            <w:bottom w:val="none" w:sz="0" w:space="0" w:color="auto"/>
                                            <w:right w:val="none" w:sz="0" w:space="0" w:color="auto"/>
                                          </w:divBdr>
                                          <w:divsChild>
                                            <w:div w:id="1515656982">
                                              <w:marLeft w:val="0"/>
                                              <w:marRight w:val="0"/>
                                              <w:marTop w:val="0"/>
                                              <w:marBottom w:val="75"/>
                                              <w:divBdr>
                                                <w:top w:val="none" w:sz="0" w:space="0" w:color="auto"/>
                                                <w:left w:val="none" w:sz="0" w:space="0" w:color="auto"/>
                                                <w:bottom w:val="none" w:sz="0" w:space="0" w:color="auto"/>
                                                <w:right w:val="none" w:sz="0" w:space="0" w:color="auto"/>
                                              </w:divBdr>
                                              <w:divsChild>
                                                <w:div w:id="1641182338">
                                                  <w:marLeft w:val="0"/>
                                                  <w:marRight w:val="0"/>
                                                  <w:marTop w:val="0"/>
                                                  <w:marBottom w:val="0"/>
                                                  <w:divBdr>
                                                    <w:top w:val="none" w:sz="0" w:space="0" w:color="auto"/>
                                                    <w:left w:val="none" w:sz="0" w:space="0" w:color="auto"/>
                                                    <w:bottom w:val="none" w:sz="0" w:space="0" w:color="auto"/>
                                                    <w:right w:val="none" w:sz="0" w:space="0" w:color="auto"/>
                                                  </w:divBdr>
                                                  <w:divsChild>
                                                    <w:div w:id="1223710729">
                                                      <w:marLeft w:val="0"/>
                                                      <w:marRight w:val="0"/>
                                                      <w:marTop w:val="0"/>
                                                      <w:marBottom w:val="0"/>
                                                      <w:divBdr>
                                                        <w:top w:val="none" w:sz="0" w:space="0" w:color="auto"/>
                                                        <w:left w:val="none" w:sz="0" w:space="0" w:color="auto"/>
                                                        <w:bottom w:val="none" w:sz="0" w:space="0" w:color="auto"/>
                                                        <w:right w:val="none" w:sz="0" w:space="0" w:color="auto"/>
                                                      </w:divBdr>
                                                      <w:divsChild>
                                                        <w:div w:id="451750290">
                                                          <w:marLeft w:val="0"/>
                                                          <w:marRight w:val="0"/>
                                                          <w:marTop w:val="75"/>
                                                          <w:marBottom w:val="0"/>
                                                          <w:divBdr>
                                                            <w:top w:val="none" w:sz="0" w:space="0" w:color="auto"/>
                                                            <w:left w:val="none" w:sz="0" w:space="0" w:color="auto"/>
                                                            <w:bottom w:val="none" w:sz="0" w:space="0" w:color="auto"/>
                                                            <w:right w:val="none" w:sz="0" w:space="0" w:color="auto"/>
                                                          </w:divBdr>
                                                          <w:divsChild>
                                                            <w:div w:id="1617324994">
                                                              <w:marLeft w:val="75"/>
                                                              <w:marRight w:val="0"/>
                                                              <w:marTop w:val="0"/>
                                                              <w:marBottom w:val="300"/>
                                                              <w:divBdr>
                                                                <w:top w:val="none" w:sz="0" w:space="0" w:color="auto"/>
                                                                <w:left w:val="none" w:sz="0" w:space="0" w:color="auto"/>
                                                                <w:bottom w:val="none" w:sz="0" w:space="0" w:color="auto"/>
                                                                <w:right w:val="none" w:sz="0" w:space="0" w:color="auto"/>
                                                              </w:divBdr>
                                                              <w:divsChild>
                                                                <w:div w:id="13812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F757F-C3D8-4098-9470-9894EE9D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Harris</dc:creator>
  <cp:lastModifiedBy>Lisa Kimble</cp:lastModifiedBy>
  <cp:revision>2</cp:revision>
  <cp:lastPrinted>2013-01-28T21:15:00Z</cp:lastPrinted>
  <dcterms:created xsi:type="dcterms:W3CDTF">2019-08-27T20:44:00Z</dcterms:created>
  <dcterms:modified xsi:type="dcterms:W3CDTF">2019-08-27T20:44:00Z</dcterms:modified>
</cp:coreProperties>
</file>