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4530D1" w:rsidRPr="0060016E" w:rsidRDefault="004530D1" w:rsidP="00420086">
                            <w:pPr>
                              <w:jc w:val="center"/>
                              <w:rPr>
                                <w:b/>
                              </w:rPr>
                            </w:pPr>
                            <w:r>
                              <w:rPr>
                                <w:b/>
                              </w:rPr>
                              <w:t>Unit Strategic Plan</w:t>
                            </w:r>
                          </w:p>
                          <w:p w:rsidR="004530D1" w:rsidRPr="0060016E" w:rsidRDefault="004530D1" w:rsidP="00420086">
                            <w:pPr>
                              <w:jc w:val="center"/>
                              <w:rPr>
                                <w:b/>
                              </w:rPr>
                            </w:pPr>
                            <w:r>
                              <w:rPr>
                                <w:b/>
                              </w:rPr>
                              <w:t>2015 - 2017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4530D1" w:rsidRPr="0060016E" w:rsidRDefault="004530D1" w:rsidP="00420086">
                      <w:pPr>
                        <w:jc w:val="center"/>
                        <w:rPr>
                          <w:b/>
                        </w:rPr>
                      </w:pPr>
                      <w:r>
                        <w:rPr>
                          <w:b/>
                        </w:rPr>
                        <w:t>Unit Strategic Plan</w:t>
                      </w:r>
                    </w:p>
                    <w:p w:rsidR="004530D1" w:rsidRPr="0060016E" w:rsidRDefault="004530D1" w:rsidP="00420086">
                      <w:pPr>
                        <w:jc w:val="center"/>
                        <w:rPr>
                          <w:b/>
                        </w:rPr>
                      </w:pPr>
                      <w:r>
                        <w:rPr>
                          <w:b/>
                        </w:rPr>
                        <w:t>2015 - 2017</w:t>
                      </w:r>
                    </w:p>
                  </w:txbxContent>
                </v:textbox>
              </v:shape>
            </w:pict>
          </mc:Fallback>
        </mc:AlternateContent>
      </w:r>
    </w:p>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250F56">
        <w:rPr>
          <w:b/>
        </w:rPr>
        <w:t xml:space="preserve">   </w:t>
      </w:r>
      <w:r w:rsidR="00250F56" w:rsidRPr="00164BD0">
        <w:t>Clinical Laboratory Technology</w:t>
      </w:r>
      <w:r w:rsidR="00755D86">
        <w:t>/Center for Professional, Career and Technical Education</w:t>
      </w:r>
    </w:p>
    <w:p w:rsidR="00FB5550" w:rsidRDefault="00420086" w:rsidP="00FB5550">
      <w:pPr>
        <w:rPr>
          <w:b/>
        </w:rPr>
      </w:pPr>
      <w:r>
        <w:rPr>
          <w:b/>
        </w:rPr>
        <w:t>Mission Statement (for the program or department):</w:t>
      </w:r>
    </w:p>
    <w:p w:rsidR="00420086" w:rsidRPr="00FB5550" w:rsidRDefault="00250F56" w:rsidP="00FB5550">
      <w:pPr>
        <w:rPr>
          <w:b/>
        </w:rPr>
      </w:pPr>
      <w:r w:rsidRPr="00164BD0">
        <w:rPr>
          <w:rFonts w:eastAsia="Calibri" w:cs="Arial"/>
        </w:rPr>
        <w:t xml:space="preserve">The mission of the Clinical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clinical laboratory technicians (CLTs) in the healthcare community.  </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CB56DD" w:rsidRDefault="00CB56DD" w:rsidP="00CB56DD">
      <w:pPr>
        <w:pStyle w:val="TOAHeading"/>
        <w:tabs>
          <w:tab w:val="clear" w:pos="9360"/>
          <w:tab w:val="left" w:pos="0"/>
          <w:tab w:val="left" w:pos="576"/>
          <w:tab w:val="left" w:pos="2976"/>
          <w:tab w:val="left" w:pos="4416"/>
          <w:tab w:val="left" w:pos="5856"/>
          <w:tab w:val="left" w:pos="6480"/>
        </w:tabs>
        <w:spacing w:before="60"/>
        <w:rPr>
          <w:rFonts w:asciiTheme="minorHAnsi" w:hAnsiTheme="minorHAnsi"/>
          <w:i/>
          <w:sz w:val="22"/>
          <w:szCs w:val="22"/>
        </w:rPr>
      </w:pPr>
      <w:r w:rsidRPr="00CB56DD">
        <w:rPr>
          <w:rFonts w:asciiTheme="minorHAnsi" w:hAnsiTheme="minorHAnsi"/>
          <w:i/>
          <w:sz w:val="22"/>
          <w:szCs w:val="22"/>
        </w:rPr>
        <w:t>College Career/Technical Education Performance Data</w:t>
      </w:r>
    </w:p>
    <w:p w:rsidR="00636CFD" w:rsidRPr="00636CFD" w:rsidRDefault="00636CFD" w:rsidP="00636CFD">
      <w:pPr>
        <w:contextualSpacing/>
      </w:pPr>
      <w:r w:rsidRPr="00636CFD">
        <w:t>I. Number of Degrees Conferred: IPEDS</w:t>
      </w:r>
    </w:p>
    <w:tbl>
      <w:tblPr>
        <w:tblpPr w:leftFromText="180" w:rightFromText="180" w:vertAnchor="text" w:horzAnchor="margin" w:tblpY="187"/>
        <w:tblW w:w="3921"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273"/>
        <w:gridCol w:w="902"/>
        <w:gridCol w:w="520"/>
        <w:gridCol w:w="922"/>
        <w:gridCol w:w="637"/>
        <w:gridCol w:w="895"/>
        <w:gridCol w:w="653"/>
        <w:gridCol w:w="11"/>
        <w:gridCol w:w="1685"/>
        <w:gridCol w:w="11"/>
      </w:tblGrid>
      <w:tr w:rsidR="00636CFD" w:rsidRPr="00636CFD" w:rsidTr="00B97D18">
        <w:tc>
          <w:tcPr>
            <w:tcW w:w="848" w:type="pct"/>
            <w:vAlign w:val="center"/>
          </w:tcPr>
          <w:p w:rsidR="00636CFD" w:rsidRPr="00636CFD" w:rsidRDefault="00636CFD" w:rsidP="00636CFD">
            <w:pPr>
              <w:jc w:val="center"/>
              <w:rPr>
                <w:b/>
              </w:rPr>
            </w:pPr>
            <w:r w:rsidRPr="00636CFD">
              <w:rPr>
                <w:b/>
              </w:rPr>
              <w:t xml:space="preserve">CIP </w:t>
            </w:r>
          </w:p>
          <w:p w:rsidR="00636CFD" w:rsidRPr="00636CFD" w:rsidRDefault="00636CFD" w:rsidP="00636CFD">
            <w:pPr>
              <w:jc w:val="center"/>
              <w:rPr>
                <w:b/>
              </w:rPr>
            </w:pPr>
            <w:r w:rsidRPr="00636CFD">
              <w:rPr>
                <w:b/>
              </w:rPr>
              <w:t>PROGRAM</w:t>
            </w:r>
          </w:p>
        </w:tc>
        <w:tc>
          <w:tcPr>
            <w:tcW w:w="946" w:type="pct"/>
            <w:gridSpan w:val="2"/>
          </w:tcPr>
          <w:p w:rsidR="00636CFD" w:rsidRPr="00636CFD" w:rsidRDefault="00636CFD" w:rsidP="00636CFD">
            <w:pPr>
              <w:spacing w:before="240" w:after="0"/>
              <w:jc w:val="center"/>
              <w:rPr>
                <w:b/>
              </w:rPr>
            </w:pPr>
            <w:r w:rsidRPr="00636CFD">
              <w:rPr>
                <w:b/>
              </w:rPr>
              <w:t>SU 2012</w:t>
            </w:r>
          </w:p>
          <w:p w:rsidR="00636CFD" w:rsidRPr="00636CFD" w:rsidRDefault="00636CFD" w:rsidP="00636CFD">
            <w:pPr>
              <w:jc w:val="center"/>
              <w:rPr>
                <w:b/>
              </w:rPr>
            </w:pPr>
            <w:r w:rsidRPr="00636CFD">
              <w:rPr>
                <w:b/>
              </w:rPr>
              <w:t>SP 2013</w:t>
            </w:r>
          </w:p>
        </w:tc>
        <w:tc>
          <w:tcPr>
            <w:tcW w:w="1038" w:type="pct"/>
            <w:gridSpan w:val="2"/>
          </w:tcPr>
          <w:p w:rsidR="00636CFD" w:rsidRPr="00636CFD" w:rsidRDefault="00636CFD" w:rsidP="00636CFD">
            <w:pPr>
              <w:spacing w:before="240" w:after="0"/>
              <w:jc w:val="center"/>
              <w:rPr>
                <w:b/>
              </w:rPr>
            </w:pPr>
            <w:r w:rsidRPr="00636CFD">
              <w:rPr>
                <w:b/>
              </w:rPr>
              <w:t>SU 2013</w:t>
            </w:r>
          </w:p>
          <w:p w:rsidR="00636CFD" w:rsidRPr="00636CFD" w:rsidRDefault="00636CFD" w:rsidP="00636CFD">
            <w:pPr>
              <w:spacing w:after="0"/>
              <w:jc w:val="center"/>
              <w:rPr>
                <w:b/>
              </w:rPr>
            </w:pPr>
            <w:r w:rsidRPr="00636CFD">
              <w:rPr>
                <w:b/>
              </w:rPr>
              <w:t>SP 2014</w:t>
            </w:r>
          </w:p>
        </w:tc>
        <w:tc>
          <w:tcPr>
            <w:tcW w:w="1038" w:type="pct"/>
            <w:gridSpan w:val="3"/>
            <w:vAlign w:val="center"/>
          </w:tcPr>
          <w:p w:rsidR="00636CFD" w:rsidRPr="00636CFD" w:rsidRDefault="00636CFD" w:rsidP="00636CFD">
            <w:pPr>
              <w:spacing w:before="240" w:after="0"/>
              <w:jc w:val="center"/>
              <w:rPr>
                <w:b/>
              </w:rPr>
            </w:pPr>
            <w:r w:rsidRPr="00636CFD">
              <w:rPr>
                <w:b/>
              </w:rPr>
              <w:t>SU 2014</w:t>
            </w:r>
          </w:p>
          <w:p w:rsidR="00636CFD" w:rsidRPr="00636CFD" w:rsidRDefault="00636CFD" w:rsidP="00636CFD">
            <w:pPr>
              <w:jc w:val="center"/>
              <w:rPr>
                <w:b/>
              </w:rPr>
            </w:pPr>
            <w:r w:rsidRPr="00636CFD">
              <w:rPr>
                <w:b/>
              </w:rPr>
              <w:t>SP 2015</w:t>
            </w:r>
          </w:p>
        </w:tc>
        <w:tc>
          <w:tcPr>
            <w:tcW w:w="1129" w:type="pct"/>
            <w:gridSpan w:val="2"/>
            <w:vAlign w:val="center"/>
          </w:tcPr>
          <w:p w:rsidR="00636CFD" w:rsidRPr="00636CFD" w:rsidRDefault="00636CFD" w:rsidP="00636CFD">
            <w:pPr>
              <w:jc w:val="center"/>
              <w:rPr>
                <w:b/>
              </w:rPr>
            </w:pPr>
            <w:r w:rsidRPr="00636CFD">
              <w:rPr>
                <w:b/>
              </w:rPr>
              <w:t>Three Year Avg.</w:t>
            </w:r>
          </w:p>
        </w:tc>
      </w:tr>
      <w:tr w:rsidR="00636CFD" w:rsidRPr="00636CFD" w:rsidTr="00B97D18">
        <w:tc>
          <w:tcPr>
            <w:tcW w:w="848" w:type="pct"/>
          </w:tcPr>
          <w:p w:rsidR="00636CFD" w:rsidRPr="00636CFD" w:rsidRDefault="00636CFD" w:rsidP="00636CFD">
            <w:pPr>
              <w:rPr>
                <w:b/>
              </w:rPr>
            </w:pPr>
            <w:r w:rsidRPr="00636CFD">
              <w:rPr>
                <w:b/>
              </w:rPr>
              <w:t xml:space="preserve"> 51.1004</w:t>
            </w:r>
          </w:p>
        </w:tc>
        <w:tc>
          <w:tcPr>
            <w:tcW w:w="601" w:type="pct"/>
          </w:tcPr>
          <w:p w:rsidR="00636CFD" w:rsidRPr="00636CFD" w:rsidRDefault="00636CFD" w:rsidP="00636CFD">
            <w:pPr>
              <w:spacing w:before="240"/>
              <w:rPr>
                <w:sz w:val="20"/>
                <w:szCs w:val="20"/>
              </w:rPr>
            </w:pPr>
            <w:r w:rsidRPr="00636CFD">
              <w:rPr>
                <w:sz w:val="20"/>
                <w:szCs w:val="20"/>
              </w:rPr>
              <w:t>Degree</w:t>
            </w:r>
          </w:p>
        </w:tc>
        <w:tc>
          <w:tcPr>
            <w:tcW w:w="346" w:type="pct"/>
          </w:tcPr>
          <w:p w:rsidR="00636CFD" w:rsidRPr="00636CFD" w:rsidRDefault="00636CFD" w:rsidP="00636CFD">
            <w:pPr>
              <w:spacing w:before="240"/>
              <w:rPr>
                <w:sz w:val="20"/>
                <w:szCs w:val="20"/>
              </w:rPr>
            </w:pPr>
            <w:r w:rsidRPr="00636CFD">
              <w:rPr>
                <w:sz w:val="20"/>
                <w:szCs w:val="20"/>
              </w:rPr>
              <w:t>Tot</w:t>
            </w:r>
          </w:p>
        </w:tc>
        <w:tc>
          <w:tcPr>
            <w:tcW w:w="614" w:type="pct"/>
          </w:tcPr>
          <w:p w:rsidR="00636CFD" w:rsidRPr="00636CFD" w:rsidRDefault="00636CFD" w:rsidP="00636CFD">
            <w:pPr>
              <w:spacing w:before="240"/>
              <w:rPr>
                <w:sz w:val="20"/>
                <w:szCs w:val="20"/>
              </w:rPr>
            </w:pPr>
            <w:r w:rsidRPr="00636CFD">
              <w:rPr>
                <w:sz w:val="20"/>
                <w:szCs w:val="20"/>
              </w:rPr>
              <w:t>Degree</w:t>
            </w:r>
          </w:p>
        </w:tc>
        <w:tc>
          <w:tcPr>
            <w:tcW w:w="424" w:type="pct"/>
          </w:tcPr>
          <w:p w:rsidR="00636CFD" w:rsidRPr="00636CFD" w:rsidRDefault="00636CFD" w:rsidP="00636CFD">
            <w:pPr>
              <w:spacing w:before="240"/>
              <w:rPr>
                <w:sz w:val="20"/>
                <w:szCs w:val="20"/>
              </w:rPr>
            </w:pPr>
            <w:r w:rsidRPr="00636CFD">
              <w:rPr>
                <w:sz w:val="20"/>
                <w:szCs w:val="20"/>
              </w:rPr>
              <w:t>Tot</w:t>
            </w:r>
          </w:p>
        </w:tc>
        <w:tc>
          <w:tcPr>
            <w:tcW w:w="596" w:type="pct"/>
            <w:vAlign w:val="center"/>
          </w:tcPr>
          <w:p w:rsidR="00636CFD" w:rsidRPr="00636CFD" w:rsidRDefault="00636CFD" w:rsidP="00636CFD">
            <w:pPr>
              <w:spacing w:after="0"/>
              <w:rPr>
                <w:sz w:val="20"/>
                <w:szCs w:val="20"/>
              </w:rPr>
            </w:pPr>
            <w:r w:rsidRPr="00636CFD">
              <w:rPr>
                <w:sz w:val="20"/>
                <w:szCs w:val="20"/>
              </w:rPr>
              <w:t>Degree</w:t>
            </w:r>
          </w:p>
        </w:tc>
        <w:tc>
          <w:tcPr>
            <w:tcW w:w="442" w:type="pct"/>
            <w:gridSpan w:val="2"/>
            <w:vAlign w:val="center"/>
          </w:tcPr>
          <w:p w:rsidR="00636CFD" w:rsidRPr="00636CFD" w:rsidRDefault="00636CFD" w:rsidP="00636CFD">
            <w:pPr>
              <w:spacing w:after="0"/>
              <w:rPr>
                <w:sz w:val="20"/>
                <w:szCs w:val="20"/>
              </w:rPr>
            </w:pPr>
            <w:r w:rsidRPr="00636CFD">
              <w:rPr>
                <w:sz w:val="20"/>
                <w:szCs w:val="20"/>
              </w:rPr>
              <w:t>Tot.</w:t>
            </w:r>
          </w:p>
        </w:tc>
        <w:tc>
          <w:tcPr>
            <w:tcW w:w="1129" w:type="pct"/>
            <w:gridSpan w:val="2"/>
            <w:vAlign w:val="center"/>
          </w:tcPr>
          <w:p w:rsidR="00636CFD" w:rsidRPr="00636CFD" w:rsidRDefault="00636CFD" w:rsidP="00636CFD">
            <w:pPr>
              <w:rPr>
                <w:sz w:val="20"/>
                <w:szCs w:val="20"/>
              </w:rPr>
            </w:pPr>
          </w:p>
        </w:tc>
      </w:tr>
      <w:tr w:rsidR="00636CFD" w:rsidRPr="00636CFD" w:rsidTr="00B97D18">
        <w:trPr>
          <w:gridAfter w:val="1"/>
          <w:wAfter w:w="7" w:type="pct"/>
          <w:trHeight w:val="432"/>
        </w:trPr>
        <w:tc>
          <w:tcPr>
            <w:tcW w:w="848" w:type="pct"/>
            <w:vAlign w:val="center"/>
          </w:tcPr>
          <w:p w:rsidR="00636CFD" w:rsidRPr="00636CFD" w:rsidRDefault="00636CFD" w:rsidP="00636CFD">
            <w:pPr>
              <w:jc w:val="center"/>
              <w:rPr>
                <w:b/>
              </w:rPr>
            </w:pPr>
            <w:r w:rsidRPr="00636CFD">
              <w:rPr>
                <w:b/>
              </w:rPr>
              <w:t>Clinical Laboratory Technology</w:t>
            </w:r>
          </w:p>
        </w:tc>
        <w:tc>
          <w:tcPr>
            <w:tcW w:w="601" w:type="pct"/>
          </w:tcPr>
          <w:p w:rsidR="00636CFD" w:rsidRPr="00636CFD" w:rsidRDefault="00636CFD" w:rsidP="00636CFD">
            <w:pPr>
              <w:jc w:val="center"/>
              <w:rPr>
                <w:sz w:val="20"/>
                <w:szCs w:val="20"/>
              </w:rPr>
            </w:pPr>
          </w:p>
          <w:p w:rsidR="00636CFD" w:rsidRPr="00636CFD" w:rsidRDefault="00636CFD" w:rsidP="00636CFD">
            <w:pPr>
              <w:jc w:val="center"/>
              <w:rPr>
                <w:sz w:val="20"/>
                <w:szCs w:val="20"/>
              </w:rPr>
            </w:pPr>
            <w:r w:rsidRPr="00636CFD">
              <w:rPr>
                <w:sz w:val="20"/>
                <w:szCs w:val="20"/>
              </w:rPr>
              <w:t>21</w:t>
            </w:r>
          </w:p>
        </w:tc>
        <w:tc>
          <w:tcPr>
            <w:tcW w:w="346" w:type="pct"/>
          </w:tcPr>
          <w:p w:rsidR="00636CFD" w:rsidRPr="00636CFD" w:rsidRDefault="00636CFD" w:rsidP="00636CFD">
            <w:pPr>
              <w:jc w:val="center"/>
              <w:rPr>
                <w:sz w:val="20"/>
                <w:szCs w:val="20"/>
              </w:rPr>
            </w:pPr>
          </w:p>
          <w:p w:rsidR="00636CFD" w:rsidRPr="00636CFD" w:rsidRDefault="00636CFD" w:rsidP="00636CFD">
            <w:pPr>
              <w:jc w:val="center"/>
              <w:rPr>
                <w:sz w:val="20"/>
                <w:szCs w:val="20"/>
              </w:rPr>
            </w:pPr>
            <w:r w:rsidRPr="00636CFD">
              <w:rPr>
                <w:sz w:val="20"/>
                <w:szCs w:val="20"/>
              </w:rPr>
              <w:t>21</w:t>
            </w:r>
          </w:p>
        </w:tc>
        <w:tc>
          <w:tcPr>
            <w:tcW w:w="614" w:type="pct"/>
          </w:tcPr>
          <w:p w:rsidR="00636CFD" w:rsidRPr="00636CFD" w:rsidRDefault="00636CFD" w:rsidP="00636CFD">
            <w:pPr>
              <w:jc w:val="center"/>
              <w:rPr>
                <w:sz w:val="20"/>
                <w:szCs w:val="20"/>
              </w:rPr>
            </w:pPr>
          </w:p>
          <w:p w:rsidR="00636CFD" w:rsidRPr="00636CFD" w:rsidRDefault="00636CFD" w:rsidP="00636CFD">
            <w:pPr>
              <w:jc w:val="center"/>
              <w:rPr>
                <w:sz w:val="20"/>
                <w:szCs w:val="20"/>
              </w:rPr>
            </w:pPr>
            <w:r w:rsidRPr="00636CFD">
              <w:rPr>
                <w:sz w:val="20"/>
                <w:szCs w:val="20"/>
              </w:rPr>
              <w:t>23</w:t>
            </w:r>
          </w:p>
        </w:tc>
        <w:tc>
          <w:tcPr>
            <w:tcW w:w="424" w:type="pct"/>
          </w:tcPr>
          <w:p w:rsidR="00636CFD" w:rsidRPr="00636CFD" w:rsidRDefault="00636CFD" w:rsidP="00636CFD">
            <w:pPr>
              <w:rPr>
                <w:sz w:val="20"/>
                <w:szCs w:val="20"/>
              </w:rPr>
            </w:pPr>
          </w:p>
          <w:p w:rsidR="00636CFD" w:rsidRPr="00636CFD" w:rsidRDefault="00636CFD" w:rsidP="00636CFD">
            <w:pPr>
              <w:rPr>
                <w:sz w:val="20"/>
                <w:szCs w:val="20"/>
              </w:rPr>
            </w:pPr>
            <w:r w:rsidRPr="00636CFD">
              <w:rPr>
                <w:sz w:val="20"/>
                <w:szCs w:val="20"/>
              </w:rPr>
              <w:t>23</w:t>
            </w:r>
          </w:p>
        </w:tc>
        <w:tc>
          <w:tcPr>
            <w:tcW w:w="596" w:type="pct"/>
            <w:vAlign w:val="center"/>
          </w:tcPr>
          <w:p w:rsidR="00636CFD" w:rsidRPr="00636CFD" w:rsidRDefault="00636CFD" w:rsidP="00636CFD">
            <w:pPr>
              <w:spacing w:before="240"/>
              <w:rPr>
                <w:sz w:val="20"/>
                <w:szCs w:val="20"/>
              </w:rPr>
            </w:pPr>
            <w:r w:rsidRPr="00636CFD">
              <w:rPr>
                <w:sz w:val="20"/>
                <w:szCs w:val="20"/>
              </w:rPr>
              <w:t>20</w:t>
            </w:r>
          </w:p>
        </w:tc>
        <w:tc>
          <w:tcPr>
            <w:tcW w:w="435" w:type="pct"/>
            <w:vAlign w:val="center"/>
          </w:tcPr>
          <w:p w:rsidR="00636CFD" w:rsidRPr="00636CFD" w:rsidRDefault="00636CFD" w:rsidP="00636CFD">
            <w:pPr>
              <w:spacing w:before="240"/>
              <w:rPr>
                <w:sz w:val="20"/>
                <w:szCs w:val="20"/>
              </w:rPr>
            </w:pPr>
            <w:r w:rsidRPr="00636CFD">
              <w:rPr>
                <w:sz w:val="20"/>
                <w:szCs w:val="20"/>
              </w:rPr>
              <w:t>20</w:t>
            </w:r>
          </w:p>
        </w:tc>
        <w:tc>
          <w:tcPr>
            <w:tcW w:w="1129" w:type="pct"/>
            <w:gridSpan w:val="2"/>
            <w:vAlign w:val="center"/>
          </w:tcPr>
          <w:p w:rsidR="00636CFD" w:rsidRPr="00636CFD" w:rsidRDefault="00636CFD" w:rsidP="00636CFD">
            <w:pPr>
              <w:spacing w:before="240"/>
              <w:jc w:val="center"/>
              <w:rPr>
                <w:sz w:val="20"/>
                <w:szCs w:val="20"/>
              </w:rPr>
            </w:pPr>
            <w:r w:rsidRPr="00636CFD">
              <w:rPr>
                <w:sz w:val="20"/>
                <w:szCs w:val="20"/>
              </w:rPr>
              <w:t>21.3</w:t>
            </w:r>
          </w:p>
        </w:tc>
      </w:tr>
    </w:tbl>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CB56DD" w:rsidRDefault="00CB56DD" w:rsidP="00CB56DD">
      <w:pPr>
        <w:tabs>
          <w:tab w:val="left" w:pos="0"/>
          <w:tab w:val="left" w:pos="576"/>
          <w:tab w:val="left" w:pos="2976"/>
          <w:tab w:val="left" w:pos="4416"/>
          <w:tab w:val="left" w:pos="5856"/>
          <w:tab w:val="left" w:pos="6480"/>
        </w:tabs>
        <w:suppressAutoHyphens/>
        <w:rPr>
          <w:i/>
        </w:rPr>
      </w:pPr>
    </w:p>
    <w:p w:rsidR="00422F10" w:rsidRDefault="00422F10" w:rsidP="00CB56DD">
      <w:pPr>
        <w:tabs>
          <w:tab w:val="left" w:pos="0"/>
          <w:tab w:val="left" w:pos="576"/>
          <w:tab w:val="left" w:pos="2976"/>
          <w:tab w:val="left" w:pos="4416"/>
          <w:tab w:val="left" w:pos="5856"/>
          <w:tab w:val="left" w:pos="6480"/>
        </w:tabs>
        <w:suppressAutoHyphens/>
        <w:spacing w:line="240" w:lineRule="auto"/>
        <w:rPr>
          <w:i/>
        </w:rPr>
      </w:pPr>
    </w:p>
    <w:p w:rsidR="00636CFD" w:rsidRPr="00636CFD" w:rsidRDefault="00636CFD" w:rsidP="00CB56DD">
      <w:pPr>
        <w:tabs>
          <w:tab w:val="left" w:pos="0"/>
          <w:tab w:val="left" w:pos="576"/>
          <w:tab w:val="left" w:pos="2976"/>
          <w:tab w:val="left" w:pos="4416"/>
          <w:tab w:val="left" w:pos="5856"/>
          <w:tab w:val="left" w:pos="6480"/>
        </w:tabs>
        <w:suppressAutoHyphens/>
        <w:spacing w:line="240" w:lineRule="auto"/>
      </w:pPr>
      <w:r w:rsidRPr="00636CFD">
        <w:rPr>
          <w:i/>
        </w:rPr>
        <w:t>The IPEDS Completion Report</w:t>
      </w:r>
    </w:p>
    <w:p w:rsidR="00636CFD" w:rsidRPr="00636CFD" w:rsidRDefault="00636CFD" w:rsidP="00636CFD">
      <w:pPr>
        <w:numPr>
          <w:ilvl w:val="0"/>
          <w:numId w:val="10"/>
        </w:numPr>
        <w:tabs>
          <w:tab w:val="left" w:pos="0"/>
          <w:tab w:val="left" w:pos="576"/>
          <w:tab w:val="left" w:pos="2976"/>
          <w:tab w:val="left" w:pos="4416"/>
          <w:tab w:val="left" w:pos="5856"/>
          <w:tab w:val="left" w:pos="6480"/>
        </w:tabs>
        <w:suppressAutoHyphens/>
        <w:spacing w:before="60"/>
        <w:contextualSpacing/>
      </w:pPr>
      <w:r w:rsidRPr="00636CFD">
        <w:t>The number of degrees awarded has remained consistent over the last three years. The restricted enrollment prevents any major increase in this area. First semester attrition is still a concern for maintaining number of graduates. We have increased our admission from 16-18 students per admission cycle to 20-22. We can comfortable accommodate 12-14 students each clinical semester. We can offer two clinical rotations during a summer semester should the need arise.</w:t>
      </w:r>
    </w:p>
    <w:p w:rsidR="00636CFD" w:rsidRDefault="00636CFD" w:rsidP="00420086">
      <w:pPr>
        <w:rPr>
          <w:b/>
        </w:rPr>
      </w:pPr>
    </w:p>
    <w:p w:rsidR="00636CFD" w:rsidRDefault="00636CFD" w:rsidP="00420086">
      <w:pPr>
        <w:rPr>
          <w:b/>
        </w:rPr>
      </w:pPr>
    </w:p>
    <w:p w:rsidR="00250F56" w:rsidRPr="00250F56" w:rsidRDefault="00250F56" w:rsidP="00250F56">
      <w:pPr>
        <w:spacing w:after="0"/>
      </w:pPr>
      <w:r w:rsidRPr="00250F56">
        <w:lastRenderedPageBreak/>
        <w:t>The CLT Program is now following a new set of NAACLS standards adopted in 2012 and effective after our November 2014 accreditation site visit. Program outcomes have slightly changed and are evident in the statistics below.</w:t>
      </w:r>
    </w:p>
    <w:p w:rsidR="00250F56" w:rsidRPr="008819A9" w:rsidRDefault="00250F56" w:rsidP="00250F56">
      <w:pPr>
        <w:pStyle w:val="TOAHeading"/>
        <w:tabs>
          <w:tab w:val="clear" w:pos="9360"/>
          <w:tab w:val="left" w:pos="0"/>
          <w:tab w:val="left" w:pos="576"/>
          <w:tab w:val="left" w:pos="2976"/>
          <w:tab w:val="left" w:pos="4416"/>
          <w:tab w:val="left" w:pos="5856"/>
          <w:tab w:val="left" w:pos="6480"/>
        </w:tabs>
        <w:spacing w:before="60"/>
        <w:rPr>
          <w:rFonts w:asciiTheme="minorHAnsi" w:hAnsiTheme="minorHAnsi"/>
          <w:b/>
          <w:sz w:val="22"/>
          <w:szCs w:val="22"/>
        </w:rPr>
      </w:pPr>
      <w:r w:rsidRPr="008819A9">
        <w:rPr>
          <w:rFonts w:asciiTheme="minorHAnsi" w:hAnsiTheme="minorHAnsi"/>
          <w:b/>
          <w:sz w:val="22"/>
          <w:szCs w:val="22"/>
        </w:rPr>
        <w:t xml:space="preserve">Licensure/Certification Exam Results  </w:t>
      </w:r>
    </w:p>
    <w:p w:rsidR="00250F56" w:rsidRDefault="00250F56" w:rsidP="00250F56">
      <w:r w:rsidRPr="00164BD0">
        <w:t>Licensure/Certification Agency:  American Society for Clinical Pathologist Board of Certification (ASCP)</w:t>
      </w:r>
    </w:p>
    <w:p w:rsidR="00250F56" w:rsidRPr="006958E0" w:rsidRDefault="00250F56" w:rsidP="00250F56">
      <w:pPr>
        <w:spacing w:after="0"/>
        <w:rPr>
          <w:b/>
        </w:rPr>
      </w:pPr>
      <w:r w:rsidRPr="006958E0">
        <w:rPr>
          <w:b/>
        </w:rPr>
        <w:t>I</w:t>
      </w:r>
      <w:r w:rsidR="005861AA">
        <w:rPr>
          <w:b/>
        </w:rPr>
        <w:t>I</w:t>
      </w:r>
      <w:r w:rsidRPr="006958E0">
        <w:rPr>
          <w:b/>
        </w:rPr>
        <w:t>. ASCP BOR Certification Results</w:t>
      </w:r>
      <w:r w:rsidRPr="006958E0">
        <w:rPr>
          <w:rFonts w:ascii="Times New Roman" w:eastAsia="Times New Roman" w:hAnsi="Times New Roman" w:cs="Times New Roman"/>
          <w:b/>
          <w:sz w:val="20"/>
          <w:szCs w:val="20"/>
        </w:rPr>
        <w:tab/>
      </w:r>
      <w:r w:rsidRPr="006958E0">
        <w:rPr>
          <w:rFonts w:ascii="Times New Roman" w:eastAsia="Times New Roman" w:hAnsi="Times New Roman" w:cs="Times New Roman"/>
          <w:b/>
          <w:sz w:val="20"/>
          <w:szCs w:val="20"/>
        </w:rPr>
        <w:tab/>
      </w:r>
    </w:p>
    <w:p w:rsidR="00250F56" w:rsidRPr="006958E0" w:rsidRDefault="00250F56" w:rsidP="00250F56">
      <w:pPr>
        <w:tabs>
          <w:tab w:val="center" w:pos="4320"/>
          <w:tab w:val="right" w:pos="8640"/>
        </w:tabs>
        <w:spacing w:after="0" w:line="240" w:lineRule="auto"/>
        <w:rPr>
          <w:rFonts w:ascii="Times New Roman" w:eastAsia="Times New Roman" w:hAnsi="Times New Roman" w:cs="Times New Roman"/>
          <w:b/>
          <w:sz w:val="24"/>
          <w:szCs w:val="24"/>
          <w:u w:val="single"/>
        </w:rPr>
      </w:pPr>
      <w:r w:rsidRPr="006958E0">
        <w:rPr>
          <w:b/>
        </w:rPr>
        <w:t>Testing Cycle Jan-Dec</w:t>
      </w:r>
    </w:p>
    <w:tbl>
      <w:tblPr>
        <w:tblStyle w:val="TableGrid"/>
        <w:tblW w:w="0" w:type="auto"/>
        <w:tblLook w:val="04A0" w:firstRow="1" w:lastRow="0" w:firstColumn="1" w:lastColumn="0" w:noHBand="0" w:noVBand="1"/>
      </w:tblPr>
      <w:tblGrid>
        <w:gridCol w:w="816"/>
        <w:gridCol w:w="999"/>
        <w:gridCol w:w="1075"/>
        <w:gridCol w:w="816"/>
        <w:gridCol w:w="999"/>
        <w:gridCol w:w="1075"/>
        <w:gridCol w:w="816"/>
        <w:gridCol w:w="999"/>
        <w:gridCol w:w="1075"/>
        <w:gridCol w:w="906"/>
      </w:tblGrid>
      <w:tr w:rsidR="00250F56" w:rsidTr="00B97D18">
        <w:trPr>
          <w:trHeight w:val="692"/>
        </w:trPr>
        <w:tc>
          <w:tcPr>
            <w:tcW w:w="2890" w:type="dxa"/>
            <w:gridSpan w:val="3"/>
          </w:tcPr>
          <w:p w:rsidR="00250F56" w:rsidRPr="00F51CCD" w:rsidRDefault="00250F56" w:rsidP="00B97D18">
            <w:pPr>
              <w:rPr>
                <w:b/>
              </w:rPr>
            </w:pPr>
            <w:r>
              <w:rPr>
                <w:b/>
              </w:rPr>
              <w:t>FY 2012</w:t>
            </w:r>
          </w:p>
        </w:tc>
        <w:tc>
          <w:tcPr>
            <w:tcW w:w="2890" w:type="dxa"/>
            <w:gridSpan w:val="3"/>
          </w:tcPr>
          <w:p w:rsidR="00250F56" w:rsidRPr="00F51CCD" w:rsidRDefault="00250F56" w:rsidP="00B97D18">
            <w:pPr>
              <w:rPr>
                <w:b/>
              </w:rPr>
            </w:pPr>
            <w:r>
              <w:rPr>
                <w:b/>
              </w:rPr>
              <w:t>FY 2013</w:t>
            </w:r>
          </w:p>
          <w:p w:rsidR="00250F56" w:rsidRPr="00F51CCD" w:rsidRDefault="00250F56" w:rsidP="00B97D18">
            <w:pPr>
              <w:rPr>
                <w:b/>
              </w:rPr>
            </w:pPr>
          </w:p>
        </w:tc>
        <w:tc>
          <w:tcPr>
            <w:tcW w:w="2890" w:type="dxa"/>
            <w:gridSpan w:val="3"/>
          </w:tcPr>
          <w:p w:rsidR="00250F56" w:rsidRPr="00F51CCD" w:rsidRDefault="00250F56" w:rsidP="00B97D18">
            <w:pPr>
              <w:rPr>
                <w:b/>
              </w:rPr>
            </w:pPr>
            <w:r>
              <w:rPr>
                <w:b/>
              </w:rPr>
              <w:t>FY 2014</w:t>
            </w:r>
          </w:p>
          <w:p w:rsidR="00250F56" w:rsidRPr="00F51CCD" w:rsidRDefault="00250F56" w:rsidP="00B97D18">
            <w:pPr>
              <w:rPr>
                <w:b/>
              </w:rPr>
            </w:pPr>
          </w:p>
        </w:tc>
        <w:tc>
          <w:tcPr>
            <w:tcW w:w="906" w:type="dxa"/>
          </w:tcPr>
          <w:p w:rsidR="00250F56" w:rsidRDefault="00250F56" w:rsidP="00B97D18">
            <w:pPr>
              <w:rPr>
                <w:b/>
              </w:rPr>
            </w:pPr>
            <w:r>
              <w:rPr>
                <w:b/>
              </w:rPr>
              <w:t>3YR</w:t>
            </w:r>
          </w:p>
          <w:p w:rsidR="00250F56" w:rsidRDefault="00250F56" w:rsidP="00B97D18">
            <w:pPr>
              <w:rPr>
                <w:b/>
              </w:rPr>
            </w:pPr>
            <w:r>
              <w:rPr>
                <w:b/>
              </w:rPr>
              <w:t>AVG</w:t>
            </w:r>
          </w:p>
        </w:tc>
      </w:tr>
      <w:tr w:rsidR="00250F56" w:rsidTr="00B97D18">
        <w:tc>
          <w:tcPr>
            <w:tcW w:w="816" w:type="dxa"/>
          </w:tcPr>
          <w:p w:rsidR="00250F56" w:rsidRPr="00F51CCD" w:rsidRDefault="00250F56" w:rsidP="00B97D18">
            <w:pPr>
              <w:rPr>
                <w:b/>
              </w:rPr>
            </w:pPr>
            <w:r w:rsidRPr="00F51CCD">
              <w:rPr>
                <w:b/>
              </w:rPr>
              <w:t># Taking</w:t>
            </w:r>
          </w:p>
          <w:p w:rsidR="00250F56" w:rsidRDefault="00250F56" w:rsidP="00B97D18">
            <w:pPr>
              <w:rPr>
                <w:b/>
              </w:rPr>
            </w:pPr>
            <w:r w:rsidRPr="00F51CCD">
              <w:rPr>
                <w:b/>
              </w:rPr>
              <w:t>% Pass</w:t>
            </w:r>
          </w:p>
          <w:p w:rsidR="00250F56" w:rsidRPr="00F51CCD" w:rsidRDefault="00250F56" w:rsidP="00B97D18">
            <w:pPr>
              <w:rPr>
                <w:b/>
              </w:rPr>
            </w:pPr>
            <w:r>
              <w:rPr>
                <w:b/>
              </w:rPr>
              <w:t>Mean</w:t>
            </w:r>
          </w:p>
        </w:tc>
        <w:tc>
          <w:tcPr>
            <w:tcW w:w="999" w:type="dxa"/>
          </w:tcPr>
          <w:p w:rsidR="00250F56" w:rsidRDefault="00250F56" w:rsidP="00B97D18">
            <w:pPr>
              <w:rPr>
                <w:b/>
              </w:rPr>
            </w:pPr>
            <w:r>
              <w:rPr>
                <w:b/>
              </w:rPr>
              <w:t>National Avg. %</w:t>
            </w:r>
          </w:p>
          <w:p w:rsidR="00250F56" w:rsidRPr="00F51CCD" w:rsidRDefault="00250F56" w:rsidP="00B97D18">
            <w:pPr>
              <w:rPr>
                <w:b/>
              </w:rPr>
            </w:pPr>
            <w:r>
              <w:rPr>
                <w:b/>
              </w:rPr>
              <w:t>Mean</w:t>
            </w:r>
          </w:p>
        </w:tc>
        <w:tc>
          <w:tcPr>
            <w:tcW w:w="1075" w:type="dxa"/>
          </w:tcPr>
          <w:p w:rsidR="00250F56" w:rsidRDefault="00250F56" w:rsidP="00B97D18">
            <w:pPr>
              <w:rPr>
                <w:b/>
              </w:rPr>
            </w:pPr>
            <w:r w:rsidRPr="00F51CCD">
              <w:rPr>
                <w:b/>
              </w:rPr>
              <w:t>%</w:t>
            </w:r>
          </w:p>
          <w:p w:rsidR="00250F56" w:rsidRDefault="00250F56" w:rsidP="00B97D18">
            <w:pPr>
              <w:rPr>
                <w:b/>
              </w:rPr>
            </w:pPr>
            <w:r>
              <w:rPr>
                <w:b/>
              </w:rPr>
              <w:t>Graduate</w:t>
            </w:r>
          </w:p>
          <w:p w:rsidR="00250F56" w:rsidRDefault="00250F56" w:rsidP="00B97D18">
            <w:pPr>
              <w:rPr>
                <w:b/>
              </w:rPr>
            </w:pPr>
            <w:r>
              <w:rPr>
                <w:b/>
              </w:rPr>
              <w:t>Testing</w:t>
            </w:r>
          </w:p>
          <w:p w:rsidR="00250F56" w:rsidRPr="00F51CCD" w:rsidRDefault="00250F56" w:rsidP="00B97D18">
            <w:pPr>
              <w:rPr>
                <w:b/>
              </w:rPr>
            </w:pPr>
            <w:r>
              <w:rPr>
                <w:b/>
              </w:rPr>
              <w:t>first year</w:t>
            </w:r>
          </w:p>
        </w:tc>
        <w:tc>
          <w:tcPr>
            <w:tcW w:w="816" w:type="dxa"/>
          </w:tcPr>
          <w:p w:rsidR="00250F56" w:rsidRPr="00F51CCD" w:rsidRDefault="00250F56" w:rsidP="00B97D18">
            <w:pPr>
              <w:rPr>
                <w:b/>
              </w:rPr>
            </w:pPr>
            <w:r w:rsidRPr="00F51CCD">
              <w:rPr>
                <w:b/>
              </w:rPr>
              <w:t># Taking</w:t>
            </w:r>
          </w:p>
          <w:p w:rsidR="00250F56" w:rsidRDefault="00250F56" w:rsidP="00B97D18">
            <w:pPr>
              <w:rPr>
                <w:b/>
              </w:rPr>
            </w:pPr>
            <w:r w:rsidRPr="00F51CCD">
              <w:rPr>
                <w:b/>
              </w:rPr>
              <w:t>% pass</w:t>
            </w:r>
          </w:p>
          <w:p w:rsidR="00250F56" w:rsidRPr="00F51CCD" w:rsidRDefault="00250F56" w:rsidP="00B97D18">
            <w:pPr>
              <w:rPr>
                <w:b/>
              </w:rPr>
            </w:pPr>
            <w:r>
              <w:rPr>
                <w:b/>
              </w:rPr>
              <w:t>Mean</w:t>
            </w:r>
          </w:p>
        </w:tc>
        <w:tc>
          <w:tcPr>
            <w:tcW w:w="999" w:type="dxa"/>
          </w:tcPr>
          <w:p w:rsidR="00250F56" w:rsidRPr="00F51CCD" w:rsidRDefault="00250F56" w:rsidP="00B97D18">
            <w:pPr>
              <w:rPr>
                <w:b/>
              </w:rPr>
            </w:pPr>
            <w:r w:rsidRPr="00F51CCD">
              <w:rPr>
                <w:b/>
              </w:rPr>
              <w:t xml:space="preserve">National </w:t>
            </w:r>
          </w:p>
          <w:p w:rsidR="00250F56" w:rsidRDefault="00250F56" w:rsidP="00B97D18">
            <w:pPr>
              <w:rPr>
                <w:b/>
              </w:rPr>
            </w:pPr>
            <w:r>
              <w:rPr>
                <w:b/>
              </w:rPr>
              <w:t>Avg. %</w:t>
            </w:r>
          </w:p>
          <w:p w:rsidR="00250F56" w:rsidRPr="00F51CCD" w:rsidRDefault="00250F56" w:rsidP="00B97D18">
            <w:pPr>
              <w:rPr>
                <w:b/>
              </w:rPr>
            </w:pPr>
            <w:r>
              <w:rPr>
                <w:b/>
              </w:rPr>
              <w:t>Mean</w:t>
            </w:r>
          </w:p>
        </w:tc>
        <w:tc>
          <w:tcPr>
            <w:tcW w:w="1075" w:type="dxa"/>
          </w:tcPr>
          <w:p w:rsidR="00250F56" w:rsidRDefault="00250F56" w:rsidP="00B97D18">
            <w:pPr>
              <w:rPr>
                <w:b/>
              </w:rPr>
            </w:pPr>
            <w:r w:rsidRPr="00F51CCD">
              <w:rPr>
                <w:b/>
              </w:rPr>
              <w:t>%</w:t>
            </w:r>
          </w:p>
          <w:p w:rsidR="00250F56" w:rsidRDefault="00250F56" w:rsidP="00B97D18">
            <w:pPr>
              <w:rPr>
                <w:b/>
              </w:rPr>
            </w:pPr>
            <w:r>
              <w:rPr>
                <w:b/>
              </w:rPr>
              <w:t>Graduate</w:t>
            </w:r>
          </w:p>
          <w:p w:rsidR="00250F56" w:rsidRDefault="00250F56" w:rsidP="00B97D18">
            <w:pPr>
              <w:rPr>
                <w:b/>
              </w:rPr>
            </w:pPr>
            <w:r>
              <w:rPr>
                <w:b/>
              </w:rPr>
              <w:t>Testing</w:t>
            </w:r>
          </w:p>
          <w:p w:rsidR="00250F56" w:rsidRPr="00F51CCD" w:rsidRDefault="00250F56" w:rsidP="00B97D18">
            <w:pPr>
              <w:rPr>
                <w:b/>
              </w:rPr>
            </w:pPr>
            <w:r>
              <w:rPr>
                <w:b/>
              </w:rPr>
              <w:t>first year</w:t>
            </w:r>
          </w:p>
        </w:tc>
        <w:tc>
          <w:tcPr>
            <w:tcW w:w="816" w:type="dxa"/>
          </w:tcPr>
          <w:p w:rsidR="00250F56" w:rsidRPr="00F51CCD" w:rsidRDefault="00250F56" w:rsidP="00B97D18">
            <w:pPr>
              <w:rPr>
                <w:b/>
              </w:rPr>
            </w:pPr>
            <w:r w:rsidRPr="00F51CCD">
              <w:rPr>
                <w:b/>
              </w:rPr>
              <w:t># Taking</w:t>
            </w:r>
          </w:p>
          <w:p w:rsidR="00250F56" w:rsidRDefault="00250F56" w:rsidP="00B97D18">
            <w:pPr>
              <w:rPr>
                <w:b/>
              </w:rPr>
            </w:pPr>
            <w:r w:rsidRPr="00F51CCD">
              <w:rPr>
                <w:b/>
              </w:rPr>
              <w:t>% pass</w:t>
            </w:r>
          </w:p>
          <w:p w:rsidR="00250F56" w:rsidRPr="00F51CCD" w:rsidRDefault="00250F56" w:rsidP="00B97D18">
            <w:pPr>
              <w:rPr>
                <w:b/>
              </w:rPr>
            </w:pPr>
            <w:r>
              <w:rPr>
                <w:b/>
              </w:rPr>
              <w:t>Mean</w:t>
            </w:r>
          </w:p>
        </w:tc>
        <w:tc>
          <w:tcPr>
            <w:tcW w:w="999" w:type="dxa"/>
          </w:tcPr>
          <w:p w:rsidR="00250F56" w:rsidRDefault="00250F56" w:rsidP="00B97D18">
            <w:pPr>
              <w:rPr>
                <w:b/>
              </w:rPr>
            </w:pPr>
            <w:r>
              <w:rPr>
                <w:b/>
              </w:rPr>
              <w:t>National Avg.%</w:t>
            </w:r>
          </w:p>
          <w:p w:rsidR="00250F56" w:rsidRPr="00F51CCD" w:rsidRDefault="00250F56" w:rsidP="00B97D18">
            <w:pPr>
              <w:rPr>
                <w:b/>
              </w:rPr>
            </w:pPr>
            <w:r>
              <w:rPr>
                <w:b/>
              </w:rPr>
              <w:t>Mean</w:t>
            </w:r>
          </w:p>
        </w:tc>
        <w:tc>
          <w:tcPr>
            <w:tcW w:w="1075" w:type="dxa"/>
          </w:tcPr>
          <w:p w:rsidR="00250F56" w:rsidRDefault="00250F56" w:rsidP="00B97D18">
            <w:pPr>
              <w:rPr>
                <w:b/>
              </w:rPr>
            </w:pPr>
            <w:r w:rsidRPr="00F51CCD">
              <w:rPr>
                <w:b/>
              </w:rPr>
              <w:t>%</w:t>
            </w:r>
          </w:p>
          <w:p w:rsidR="00250F56" w:rsidRDefault="00250F56" w:rsidP="00B97D18">
            <w:pPr>
              <w:rPr>
                <w:b/>
              </w:rPr>
            </w:pPr>
            <w:r>
              <w:rPr>
                <w:b/>
              </w:rPr>
              <w:t>Graduate testing</w:t>
            </w:r>
          </w:p>
          <w:p w:rsidR="00250F56" w:rsidRDefault="00250F56" w:rsidP="00B97D18">
            <w:pPr>
              <w:rPr>
                <w:b/>
              </w:rPr>
            </w:pPr>
            <w:r>
              <w:rPr>
                <w:b/>
              </w:rPr>
              <w:t>First year</w:t>
            </w:r>
          </w:p>
          <w:p w:rsidR="00250F56" w:rsidRPr="00F51CCD" w:rsidRDefault="00250F56" w:rsidP="00B97D18">
            <w:pPr>
              <w:rPr>
                <w:b/>
              </w:rPr>
            </w:pPr>
          </w:p>
        </w:tc>
        <w:tc>
          <w:tcPr>
            <w:tcW w:w="906" w:type="dxa"/>
          </w:tcPr>
          <w:p w:rsidR="00250F56" w:rsidRDefault="00250F56" w:rsidP="00B97D18">
            <w:pPr>
              <w:rPr>
                <w:b/>
              </w:rPr>
            </w:pPr>
            <w:r>
              <w:rPr>
                <w:b/>
              </w:rPr>
              <w:t>BOC</w:t>
            </w:r>
          </w:p>
          <w:p w:rsidR="00250F56" w:rsidRPr="00F51CCD" w:rsidRDefault="00250F56" w:rsidP="00B97D18">
            <w:pPr>
              <w:rPr>
                <w:b/>
              </w:rPr>
            </w:pPr>
            <w:r>
              <w:rPr>
                <w:b/>
              </w:rPr>
              <w:t>Pass Rate</w:t>
            </w:r>
          </w:p>
        </w:tc>
      </w:tr>
      <w:tr w:rsidR="00250F56" w:rsidTr="00B97D18">
        <w:tc>
          <w:tcPr>
            <w:tcW w:w="816" w:type="dxa"/>
          </w:tcPr>
          <w:p w:rsidR="00250F56" w:rsidRPr="005861AA" w:rsidRDefault="00250F56" w:rsidP="00B97D18">
            <w:pPr>
              <w:spacing w:line="276" w:lineRule="auto"/>
              <w:rPr>
                <w:b/>
              </w:rPr>
            </w:pPr>
            <w:r w:rsidRPr="005861AA">
              <w:rPr>
                <w:b/>
              </w:rPr>
              <w:t>13/17</w:t>
            </w:r>
          </w:p>
          <w:p w:rsidR="00250F56" w:rsidRDefault="00250F56" w:rsidP="00B97D18">
            <w:pPr>
              <w:spacing w:line="276" w:lineRule="auto"/>
            </w:pPr>
            <w:r w:rsidRPr="005861AA">
              <w:rPr>
                <w:b/>
              </w:rPr>
              <w:t>76%</w:t>
            </w:r>
          </w:p>
          <w:p w:rsidR="00250F56" w:rsidRDefault="00250F56" w:rsidP="00B97D18">
            <w:pPr>
              <w:spacing w:line="276" w:lineRule="auto"/>
            </w:pPr>
            <w:r>
              <w:t>387</w:t>
            </w:r>
          </w:p>
        </w:tc>
        <w:tc>
          <w:tcPr>
            <w:tcW w:w="999" w:type="dxa"/>
          </w:tcPr>
          <w:p w:rsidR="00250F56" w:rsidRDefault="00250F56" w:rsidP="00B97D18">
            <w:pPr>
              <w:spacing w:line="360" w:lineRule="auto"/>
            </w:pPr>
            <w:r>
              <w:t>74%</w:t>
            </w:r>
          </w:p>
          <w:p w:rsidR="00250F56" w:rsidRDefault="00250F56" w:rsidP="00B97D18">
            <w:pPr>
              <w:spacing w:before="240" w:line="360" w:lineRule="auto"/>
            </w:pPr>
            <w:r>
              <w:t>495</w:t>
            </w:r>
          </w:p>
        </w:tc>
        <w:tc>
          <w:tcPr>
            <w:tcW w:w="1075" w:type="dxa"/>
          </w:tcPr>
          <w:p w:rsidR="00250F56" w:rsidRDefault="00250F56" w:rsidP="00B97D18">
            <w:pPr>
              <w:spacing w:before="240"/>
            </w:pPr>
            <w:r>
              <w:t>17/21</w:t>
            </w:r>
          </w:p>
          <w:p w:rsidR="00250F56" w:rsidRDefault="00250F56" w:rsidP="00B97D18">
            <w:pPr>
              <w:spacing w:before="240"/>
            </w:pPr>
            <w:r>
              <w:t>81%</w:t>
            </w:r>
          </w:p>
        </w:tc>
        <w:tc>
          <w:tcPr>
            <w:tcW w:w="816" w:type="dxa"/>
          </w:tcPr>
          <w:p w:rsidR="00250F56" w:rsidRPr="005861AA" w:rsidRDefault="00250F56" w:rsidP="00B97D18">
            <w:pPr>
              <w:spacing w:line="276" w:lineRule="auto"/>
              <w:rPr>
                <w:b/>
              </w:rPr>
            </w:pPr>
            <w:r w:rsidRPr="005861AA">
              <w:rPr>
                <w:b/>
              </w:rPr>
              <w:t>12/16</w:t>
            </w:r>
          </w:p>
          <w:p w:rsidR="00250F56" w:rsidRDefault="00250F56" w:rsidP="00B97D18">
            <w:pPr>
              <w:spacing w:line="276" w:lineRule="auto"/>
            </w:pPr>
            <w:r w:rsidRPr="005861AA">
              <w:rPr>
                <w:b/>
              </w:rPr>
              <w:t>94%</w:t>
            </w:r>
          </w:p>
          <w:p w:rsidR="00250F56" w:rsidRDefault="00250F56" w:rsidP="00B97D18">
            <w:pPr>
              <w:spacing w:line="276" w:lineRule="auto"/>
            </w:pPr>
            <w:r>
              <w:t>457</w:t>
            </w:r>
          </w:p>
        </w:tc>
        <w:tc>
          <w:tcPr>
            <w:tcW w:w="999" w:type="dxa"/>
          </w:tcPr>
          <w:p w:rsidR="00250F56" w:rsidRDefault="00250F56" w:rsidP="00B97D18">
            <w:pPr>
              <w:spacing w:line="276" w:lineRule="auto"/>
            </w:pPr>
            <w:r>
              <w:t>74%</w:t>
            </w:r>
          </w:p>
          <w:p w:rsidR="00250F56" w:rsidRDefault="00250F56" w:rsidP="00B97D18">
            <w:pPr>
              <w:spacing w:line="276" w:lineRule="auto"/>
            </w:pPr>
          </w:p>
          <w:p w:rsidR="00250F56" w:rsidRDefault="00250F56" w:rsidP="00B97D18">
            <w:pPr>
              <w:spacing w:line="276" w:lineRule="auto"/>
            </w:pPr>
            <w:r>
              <w:t>498</w:t>
            </w:r>
          </w:p>
        </w:tc>
        <w:tc>
          <w:tcPr>
            <w:tcW w:w="1075" w:type="dxa"/>
          </w:tcPr>
          <w:p w:rsidR="00250F56" w:rsidRDefault="00250F56" w:rsidP="00B97D18"/>
          <w:p w:rsidR="00250F56" w:rsidRDefault="00250F56" w:rsidP="00B97D18">
            <w:r>
              <w:t>16/21</w:t>
            </w:r>
          </w:p>
          <w:p w:rsidR="00250F56" w:rsidRDefault="00250F56" w:rsidP="00B97D18"/>
          <w:p w:rsidR="00250F56" w:rsidRDefault="00250F56" w:rsidP="00B97D18">
            <w:r>
              <w:t>76%</w:t>
            </w:r>
          </w:p>
        </w:tc>
        <w:tc>
          <w:tcPr>
            <w:tcW w:w="816" w:type="dxa"/>
          </w:tcPr>
          <w:p w:rsidR="00250F56" w:rsidRPr="005861AA" w:rsidRDefault="00250F56" w:rsidP="00B97D18">
            <w:pPr>
              <w:spacing w:line="276" w:lineRule="auto"/>
              <w:rPr>
                <w:b/>
              </w:rPr>
            </w:pPr>
            <w:r w:rsidRPr="005861AA">
              <w:rPr>
                <w:b/>
              </w:rPr>
              <w:t>14/17</w:t>
            </w:r>
          </w:p>
          <w:p w:rsidR="00250F56" w:rsidRPr="005861AA" w:rsidRDefault="00250F56" w:rsidP="00B97D18">
            <w:pPr>
              <w:spacing w:line="276" w:lineRule="auto"/>
              <w:rPr>
                <w:b/>
              </w:rPr>
            </w:pPr>
            <w:r w:rsidRPr="005861AA">
              <w:rPr>
                <w:b/>
              </w:rPr>
              <w:t>82%</w:t>
            </w:r>
          </w:p>
          <w:p w:rsidR="00250F56" w:rsidRDefault="00250F56" w:rsidP="00B97D18">
            <w:pPr>
              <w:spacing w:line="276" w:lineRule="auto"/>
            </w:pPr>
            <w:r>
              <w:t>404</w:t>
            </w:r>
          </w:p>
          <w:p w:rsidR="00250F56" w:rsidRDefault="00250F56" w:rsidP="00B97D18">
            <w:pPr>
              <w:spacing w:line="276" w:lineRule="auto"/>
            </w:pPr>
          </w:p>
        </w:tc>
        <w:tc>
          <w:tcPr>
            <w:tcW w:w="999" w:type="dxa"/>
          </w:tcPr>
          <w:p w:rsidR="00250F56" w:rsidRDefault="00250F56" w:rsidP="00B97D18">
            <w:pPr>
              <w:spacing w:line="276" w:lineRule="auto"/>
            </w:pPr>
            <w:r>
              <w:t>78%</w:t>
            </w:r>
          </w:p>
          <w:p w:rsidR="00250F56" w:rsidRDefault="00250F56" w:rsidP="00B97D18">
            <w:pPr>
              <w:spacing w:line="276" w:lineRule="auto"/>
            </w:pPr>
          </w:p>
          <w:p w:rsidR="00250F56" w:rsidRDefault="00250F56" w:rsidP="00B97D18">
            <w:pPr>
              <w:spacing w:line="276" w:lineRule="auto"/>
            </w:pPr>
            <w:r>
              <w:t>499</w:t>
            </w:r>
          </w:p>
        </w:tc>
        <w:tc>
          <w:tcPr>
            <w:tcW w:w="1075" w:type="dxa"/>
          </w:tcPr>
          <w:p w:rsidR="00250F56" w:rsidRDefault="00250F56" w:rsidP="00B97D18"/>
          <w:p w:rsidR="00250F56" w:rsidRDefault="00250F56" w:rsidP="00B97D18">
            <w:r>
              <w:t>17/24</w:t>
            </w:r>
          </w:p>
          <w:p w:rsidR="00250F56" w:rsidRDefault="00250F56" w:rsidP="00B97D18"/>
          <w:p w:rsidR="00250F56" w:rsidRDefault="00250F56" w:rsidP="00B97D18">
            <w:r>
              <w:t>71%</w:t>
            </w:r>
          </w:p>
          <w:p w:rsidR="00250F56" w:rsidRDefault="00250F56" w:rsidP="00B97D18"/>
        </w:tc>
        <w:tc>
          <w:tcPr>
            <w:tcW w:w="906" w:type="dxa"/>
          </w:tcPr>
          <w:p w:rsidR="00250F56" w:rsidRDefault="005861AA" w:rsidP="00B97D18">
            <w:r>
              <w:t>78</w:t>
            </w:r>
            <w:r w:rsidR="00250F56">
              <w:t>%</w:t>
            </w:r>
          </w:p>
        </w:tc>
      </w:tr>
    </w:tbl>
    <w:p w:rsidR="00250F56" w:rsidRDefault="00250F56" w:rsidP="00250F56"/>
    <w:p w:rsidR="00250F56" w:rsidRPr="00735DD1" w:rsidRDefault="00250F56" w:rsidP="00250F56">
      <w:pPr>
        <w:pStyle w:val="ListParagraph"/>
        <w:numPr>
          <w:ilvl w:val="0"/>
          <w:numId w:val="8"/>
        </w:numPr>
        <w:rPr>
          <w:b/>
        </w:rPr>
      </w:pPr>
      <w:r w:rsidRPr="00735DD1">
        <w:rPr>
          <w:b/>
        </w:rPr>
        <w:t>NAACLS Benchmark for ASCP Certification Rates: Three years consecutive results of graduates’ certification rates demonstrating an average of at least 75% pass rate on BOC examinations, for those who take the exam within the first year of graduation as calculated by the most recent three year period.</w:t>
      </w:r>
    </w:p>
    <w:p w:rsidR="00250F56" w:rsidRPr="00735DD1" w:rsidRDefault="00250F56" w:rsidP="00250F56">
      <w:pPr>
        <w:pStyle w:val="ListParagraph"/>
        <w:numPr>
          <w:ilvl w:val="0"/>
          <w:numId w:val="8"/>
        </w:numPr>
      </w:pPr>
      <w:r w:rsidRPr="00735DD1">
        <w:t>Percent of graduates testing is a program goal. We are striving to reach at least 80% of students testing each cohort</w:t>
      </w:r>
      <w:r>
        <w:t xml:space="preserve"> within first year.</w:t>
      </w:r>
    </w:p>
    <w:p w:rsidR="00250F56" w:rsidRPr="006958E0" w:rsidRDefault="005861AA" w:rsidP="00250F56">
      <w:pPr>
        <w:rPr>
          <w:b/>
        </w:rPr>
      </w:pPr>
      <w:r>
        <w:rPr>
          <w:b/>
        </w:rPr>
        <w:t>I</w:t>
      </w:r>
      <w:r w:rsidR="00250F56" w:rsidRPr="006958E0">
        <w:rPr>
          <w:b/>
        </w:rPr>
        <w:t>II. Admission Statistics</w:t>
      </w:r>
    </w:p>
    <w:tbl>
      <w:tblPr>
        <w:tblStyle w:val="TableGrid"/>
        <w:tblW w:w="0" w:type="auto"/>
        <w:tblLook w:val="04A0" w:firstRow="1" w:lastRow="0" w:firstColumn="1" w:lastColumn="0" w:noHBand="0" w:noVBand="1"/>
      </w:tblPr>
      <w:tblGrid>
        <w:gridCol w:w="1346"/>
        <w:gridCol w:w="1473"/>
        <w:gridCol w:w="1261"/>
        <w:gridCol w:w="1292"/>
        <w:gridCol w:w="1258"/>
        <w:gridCol w:w="1343"/>
        <w:gridCol w:w="1315"/>
      </w:tblGrid>
      <w:tr w:rsidR="00250F56" w:rsidTr="00B97D18">
        <w:tc>
          <w:tcPr>
            <w:tcW w:w="1346" w:type="dxa"/>
          </w:tcPr>
          <w:p w:rsidR="00250F56" w:rsidRPr="00E232CC" w:rsidRDefault="00250F56" w:rsidP="00B97D18">
            <w:pPr>
              <w:rPr>
                <w:b/>
              </w:rPr>
            </w:pPr>
            <w:r w:rsidRPr="00E232CC">
              <w:rPr>
                <w:b/>
              </w:rPr>
              <w:t>Admission Cycle</w:t>
            </w:r>
          </w:p>
        </w:tc>
        <w:tc>
          <w:tcPr>
            <w:tcW w:w="1473" w:type="dxa"/>
          </w:tcPr>
          <w:p w:rsidR="00250F56" w:rsidRDefault="00250F56" w:rsidP="00B97D18">
            <w:pPr>
              <w:rPr>
                <w:b/>
              </w:rPr>
            </w:pPr>
            <w:r>
              <w:rPr>
                <w:b/>
              </w:rPr>
              <w:t>Applications</w:t>
            </w:r>
          </w:p>
          <w:p w:rsidR="00250F56" w:rsidRPr="00E232CC" w:rsidRDefault="00250F56" w:rsidP="00B97D18">
            <w:pPr>
              <w:rPr>
                <w:b/>
              </w:rPr>
            </w:pPr>
            <w:r>
              <w:rPr>
                <w:b/>
              </w:rPr>
              <w:t>Received</w:t>
            </w:r>
          </w:p>
        </w:tc>
        <w:tc>
          <w:tcPr>
            <w:tcW w:w="1261" w:type="dxa"/>
          </w:tcPr>
          <w:p w:rsidR="00250F56" w:rsidRDefault="00250F56" w:rsidP="00B97D18">
            <w:r>
              <w:t># Admitted</w:t>
            </w:r>
          </w:p>
          <w:p w:rsidR="00250F56" w:rsidRDefault="00250F56" w:rsidP="00B97D18">
            <w:r>
              <w:t>Total</w:t>
            </w:r>
          </w:p>
        </w:tc>
        <w:tc>
          <w:tcPr>
            <w:tcW w:w="1292" w:type="dxa"/>
          </w:tcPr>
          <w:p w:rsidR="00250F56" w:rsidRDefault="00250F56" w:rsidP="00B97D18">
            <w:r>
              <w:t># Out of Progression</w:t>
            </w:r>
          </w:p>
        </w:tc>
        <w:tc>
          <w:tcPr>
            <w:tcW w:w="1258" w:type="dxa"/>
          </w:tcPr>
          <w:p w:rsidR="00250F56" w:rsidRDefault="00250F56" w:rsidP="00B97D18">
            <w:r>
              <w:t>Attrition/ %</w:t>
            </w:r>
          </w:p>
        </w:tc>
        <w:tc>
          <w:tcPr>
            <w:tcW w:w="1343" w:type="dxa"/>
          </w:tcPr>
          <w:p w:rsidR="00250F56" w:rsidRDefault="00250F56" w:rsidP="00B97D18">
            <w:r>
              <w:t>Graduates</w:t>
            </w:r>
          </w:p>
          <w:p w:rsidR="00250F56" w:rsidRDefault="00250F56" w:rsidP="00B97D18"/>
        </w:tc>
        <w:tc>
          <w:tcPr>
            <w:tcW w:w="1315" w:type="dxa"/>
          </w:tcPr>
          <w:p w:rsidR="00250F56" w:rsidRDefault="00250F56" w:rsidP="00B97D18">
            <w:r>
              <w:t>Graduation %</w:t>
            </w:r>
          </w:p>
        </w:tc>
      </w:tr>
      <w:tr w:rsidR="00250F56" w:rsidTr="00B97D18">
        <w:tc>
          <w:tcPr>
            <w:tcW w:w="1346" w:type="dxa"/>
          </w:tcPr>
          <w:p w:rsidR="00250F56" w:rsidRDefault="00250F56" w:rsidP="00B97D18">
            <w:r>
              <w:t>Summer 2012</w:t>
            </w:r>
          </w:p>
        </w:tc>
        <w:tc>
          <w:tcPr>
            <w:tcW w:w="1473" w:type="dxa"/>
          </w:tcPr>
          <w:p w:rsidR="00250F56" w:rsidRDefault="00250F56" w:rsidP="00B97D18">
            <w:r>
              <w:t>39</w:t>
            </w:r>
          </w:p>
        </w:tc>
        <w:tc>
          <w:tcPr>
            <w:tcW w:w="1261" w:type="dxa"/>
          </w:tcPr>
          <w:p w:rsidR="00250F56" w:rsidRDefault="00250F56" w:rsidP="00B97D18">
            <w:r>
              <w:t>17</w:t>
            </w:r>
          </w:p>
        </w:tc>
        <w:tc>
          <w:tcPr>
            <w:tcW w:w="1292" w:type="dxa"/>
          </w:tcPr>
          <w:p w:rsidR="00250F56" w:rsidRDefault="00250F56" w:rsidP="00B97D18">
            <w:r>
              <w:t>5</w:t>
            </w:r>
          </w:p>
        </w:tc>
        <w:tc>
          <w:tcPr>
            <w:tcW w:w="1258" w:type="dxa"/>
          </w:tcPr>
          <w:p w:rsidR="00250F56" w:rsidRDefault="00250F56" w:rsidP="00B97D18">
            <w:r>
              <w:t>3/24% &lt;2 semester</w:t>
            </w:r>
          </w:p>
          <w:p w:rsidR="00250F56" w:rsidRDefault="00250F56" w:rsidP="00B97D18">
            <w:r>
              <w:t>1/11% &gt;3</w:t>
            </w:r>
          </w:p>
        </w:tc>
        <w:tc>
          <w:tcPr>
            <w:tcW w:w="1343" w:type="dxa"/>
          </w:tcPr>
          <w:p w:rsidR="00250F56" w:rsidRDefault="00250F56" w:rsidP="00B97D18">
            <w:r>
              <w:t>10 Total</w:t>
            </w:r>
          </w:p>
          <w:p w:rsidR="00250F56" w:rsidRDefault="00250F56" w:rsidP="00B97D18">
            <w:r>
              <w:t>FA2013</w:t>
            </w:r>
          </w:p>
          <w:p w:rsidR="00250F56" w:rsidRDefault="00250F56" w:rsidP="00B97D18"/>
        </w:tc>
        <w:tc>
          <w:tcPr>
            <w:tcW w:w="1315" w:type="dxa"/>
          </w:tcPr>
          <w:p w:rsidR="00250F56" w:rsidRDefault="00250F56" w:rsidP="00B97D18">
            <w:r>
              <w:t>91%</w:t>
            </w:r>
          </w:p>
        </w:tc>
      </w:tr>
      <w:tr w:rsidR="00250F56" w:rsidTr="00B97D18">
        <w:tc>
          <w:tcPr>
            <w:tcW w:w="1346" w:type="dxa"/>
          </w:tcPr>
          <w:p w:rsidR="00250F56" w:rsidRDefault="00250F56" w:rsidP="00B97D18">
            <w:r>
              <w:t>Fall 2012</w:t>
            </w:r>
          </w:p>
          <w:p w:rsidR="00250F56" w:rsidRDefault="00250F56" w:rsidP="00B97D18"/>
        </w:tc>
        <w:tc>
          <w:tcPr>
            <w:tcW w:w="1473" w:type="dxa"/>
          </w:tcPr>
          <w:p w:rsidR="00250F56" w:rsidRDefault="00250F56" w:rsidP="00B97D18">
            <w:r>
              <w:t>48</w:t>
            </w:r>
          </w:p>
        </w:tc>
        <w:tc>
          <w:tcPr>
            <w:tcW w:w="1261" w:type="dxa"/>
          </w:tcPr>
          <w:p w:rsidR="00250F56" w:rsidRDefault="00250F56" w:rsidP="00B97D18">
            <w:r>
              <w:t>17</w:t>
            </w:r>
          </w:p>
        </w:tc>
        <w:tc>
          <w:tcPr>
            <w:tcW w:w="1292" w:type="dxa"/>
          </w:tcPr>
          <w:p w:rsidR="00250F56" w:rsidRDefault="00250F56" w:rsidP="00B97D18">
            <w:r>
              <w:t>1</w:t>
            </w:r>
          </w:p>
        </w:tc>
        <w:tc>
          <w:tcPr>
            <w:tcW w:w="1258" w:type="dxa"/>
          </w:tcPr>
          <w:p w:rsidR="00250F56" w:rsidRDefault="00250F56" w:rsidP="00B97D18">
            <w:r>
              <w:t>3/17% &lt;2</w:t>
            </w:r>
          </w:p>
          <w:p w:rsidR="00250F56" w:rsidRDefault="00250F56" w:rsidP="00B97D18">
            <w:r>
              <w:t>0/ 0% &gt;3</w:t>
            </w:r>
          </w:p>
        </w:tc>
        <w:tc>
          <w:tcPr>
            <w:tcW w:w="1343" w:type="dxa"/>
          </w:tcPr>
          <w:p w:rsidR="00250F56" w:rsidRDefault="00250F56" w:rsidP="00B97D18">
            <w:r>
              <w:t>13</w:t>
            </w:r>
          </w:p>
          <w:p w:rsidR="00250F56" w:rsidRDefault="00250F56" w:rsidP="00B97D18">
            <w:r>
              <w:t>SP2014</w:t>
            </w:r>
          </w:p>
          <w:p w:rsidR="00250F56" w:rsidRDefault="00250F56" w:rsidP="00B97D18"/>
        </w:tc>
        <w:tc>
          <w:tcPr>
            <w:tcW w:w="1315" w:type="dxa"/>
          </w:tcPr>
          <w:p w:rsidR="00250F56" w:rsidRDefault="00250F56" w:rsidP="00B97D18">
            <w:r>
              <w:t>100%</w:t>
            </w:r>
          </w:p>
        </w:tc>
      </w:tr>
      <w:tr w:rsidR="00250F56" w:rsidTr="00B97D18">
        <w:tc>
          <w:tcPr>
            <w:tcW w:w="1346" w:type="dxa"/>
          </w:tcPr>
          <w:p w:rsidR="00250F56" w:rsidRDefault="00250F56" w:rsidP="00B97D18">
            <w:r>
              <w:t>Summer 2013</w:t>
            </w:r>
          </w:p>
        </w:tc>
        <w:tc>
          <w:tcPr>
            <w:tcW w:w="1473" w:type="dxa"/>
          </w:tcPr>
          <w:p w:rsidR="00250F56" w:rsidRDefault="00250F56" w:rsidP="00B97D18">
            <w:r>
              <w:t>35</w:t>
            </w:r>
          </w:p>
        </w:tc>
        <w:tc>
          <w:tcPr>
            <w:tcW w:w="1261" w:type="dxa"/>
          </w:tcPr>
          <w:p w:rsidR="00250F56" w:rsidRDefault="00250F56" w:rsidP="00B97D18">
            <w:r>
              <w:t>17</w:t>
            </w:r>
          </w:p>
        </w:tc>
        <w:tc>
          <w:tcPr>
            <w:tcW w:w="1292" w:type="dxa"/>
          </w:tcPr>
          <w:p w:rsidR="00250F56" w:rsidRDefault="00250F56" w:rsidP="00B97D18">
            <w:r>
              <w:t>5</w:t>
            </w:r>
          </w:p>
        </w:tc>
        <w:tc>
          <w:tcPr>
            <w:tcW w:w="1258" w:type="dxa"/>
          </w:tcPr>
          <w:p w:rsidR="00250F56" w:rsidRDefault="00250F56" w:rsidP="00B97D18">
            <w:r>
              <w:t>11/65% Total 1-2 semester</w:t>
            </w:r>
          </w:p>
          <w:p w:rsidR="00250F56" w:rsidRDefault="00250F56" w:rsidP="00B97D18">
            <w:r>
              <w:t xml:space="preserve">1/10% </w:t>
            </w:r>
          </w:p>
          <w:p w:rsidR="00250F56" w:rsidRDefault="00250F56" w:rsidP="00B97D18">
            <w:r>
              <w:t>&gt;3 semester</w:t>
            </w:r>
          </w:p>
          <w:p w:rsidR="00250F56" w:rsidRDefault="00250F56" w:rsidP="00B97D18"/>
        </w:tc>
        <w:tc>
          <w:tcPr>
            <w:tcW w:w="1343" w:type="dxa"/>
          </w:tcPr>
          <w:p w:rsidR="00250F56" w:rsidRDefault="00250F56" w:rsidP="00B97D18">
            <w:r>
              <w:t>10</w:t>
            </w:r>
          </w:p>
          <w:p w:rsidR="00250F56" w:rsidRDefault="00250F56" w:rsidP="00B97D18">
            <w:r>
              <w:t>Fall 2014</w:t>
            </w:r>
          </w:p>
        </w:tc>
        <w:tc>
          <w:tcPr>
            <w:tcW w:w="1315" w:type="dxa"/>
          </w:tcPr>
          <w:p w:rsidR="00250F56" w:rsidRDefault="00250F56" w:rsidP="00B97D18">
            <w:r>
              <w:t>90%</w:t>
            </w:r>
          </w:p>
        </w:tc>
      </w:tr>
      <w:tr w:rsidR="00250F56" w:rsidTr="00B97D18">
        <w:tc>
          <w:tcPr>
            <w:tcW w:w="1346" w:type="dxa"/>
          </w:tcPr>
          <w:p w:rsidR="00250F56" w:rsidRDefault="00250F56" w:rsidP="00B97D18">
            <w:r>
              <w:t>Fall 2013</w:t>
            </w:r>
          </w:p>
          <w:p w:rsidR="00250F56" w:rsidRDefault="00250F56" w:rsidP="00B97D18"/>
          <w:p w:rsidR="00250F56" w:rsidRDefault="00250F56" w:rsidP="00B97D18"/>
        </w:tc>
        <w:tc>
          <w:tcPr>
            <w:tcW w:w="1473" w:type="dxa"/>
          </w:tcPr>
          <w:p w:rsidR="00250F56" w:rsidRDefault="00250F56" w:rsidP="00B97D18">
            <w:r>
              <w:t>51</w:t>
            </w:r>
          </w:p>
        </w:tc>
        <w:tc>
          <w:tcPr>
            <w:tcW w:w="1261" w:type="dxa"/>
          </w:tcPr>
          <w:p w:rsidR="00250F56" w:rsidRDefault="00250F56" w:rsidP="00B97D18">
            <w:r>
              <w:t>17</w:t>
            </w:r>
          </w:p>
        </w:tc>
        <w:tc>
          <w:tcPr>
            <w:tcW w:w="1292" w:type="dxa"/>
          </w:tcPr>
          <w:p w:rsidR="00250F56" w:rsidRDefault="00250F56" w:rsidP="00B97D18">
            <w:r>
              <w:t>1</w:t>
            </w:r>
          </w:p>
        </w:tc>
        <w:tc>
          <w:tcPr>
            <w:tcW w:w="1258" w:type="dxa"/>
          </w:tcPr>
          <w:p w:rsidR="00250F56" w:rsidRDefault="00250F56" w:rsidP="00B97D18">
            <w:r>
              <w:t>7/41% &lt;2</w:t>
            </w:r>
          </w:p>
          <w:p w:rsidR="00250F56" w:rsidRDefault="00250F56" w:rsidP="00B97D18">
            <w:r>
              <w:t>1/10% &gt;3</w:t>
            </w:r>
          </w:p>
        </w:tc>
        <w:tc>
          <w:tcPr>
            <w:tcW w:w="1343" w:type="dxa"/>
          </w:tcPr>
          <w:p w:rsidR="00250F56" w:rsidRDefault="00250F56" w:rsidP="00B97D18">
            <w:r>
              <w:t>13</w:t>
            </w:r>
          </w:p>
          <w:p w:rsidR="00250F56" w:rsidRDefault="00250F56" w:rsidP="00B97D18">
            <w:r>
              <w:t>SP 2015</w:t>
            </w:r>
          </w:p>
        </w:tc>
        <w:tc>
          <w:tcPr>
            <w:tcW w:w="1315" w:type="dxa"/>
          </w:tcPr>
          <w:p w:rsidR="00250F56" w:rsidRDefault="00250F56" w:rsidP="00B97D18">
            <w:r>
              <w:t>92%</w:t>
            </w:r>
          </w:p>
        </w:tc>
      </w:tr>
      <w:tr w:rsidR="00250F56" w:rsidTr="00B97D18">
        <w:tc>
          <w:tcPr>
            <w:tcW w:w="1346" w:type="dxa"/>
          </w:tcPr>
          <w:p w:rsidR="00250F56" w:rsidRDefault="00250F56" w:rsidP="00B97D18">
            <w:r>
              <w:t>Su 2014</w:t>
            </w:r>
          </w:p>
          <w:p w:rsidR="00250F56" w:rsidRDefault="00250F56" w:rsidP="00B97D18"/>
        </w:tc>
        <w:tc>
          <w:tcPr>
            <w:tcW w:w="1473" w:type="dxa"/>
          </w:tcPr>
          <w:p w:rsidR="00250F56" w:rsidRDefault="00250F56" w:rsidP="00B97D18">
            <w:r>
              <w:t>26</w:t>
            </w:r>
          </w:p>
        </w:tc>
        <w:tc>
          <w:tcPr>
            <w:tcW w:w="1261" w:type="dxa"/>
          </w:tcPr>
          <w:p w:rsidR="00250F56" w:rsidRDefault="00250F56" w:rsidP="00B97D18">
            <w:r>
              <w:t>17</w:t>
            </w:r>
          </w:p>
        </w:tc>
        <w:tc>
          <w:tcPr>
            <w:tcW w:w="1292" w:type="dxa"/>
          </w:tcPr>
          <w:p w:rsidR="00250F56" w:rsidRDefault="00DE2E9B" w:rsidP="00B97D18">
            <w:r>
              <w:t>3</w:t>
            </w:r>
          </w:p>
        </w:tc>
        <w:tc>
          <w:tcPr>
            <w:tcW w:w="1258" w:type="dxa"/>
          </w:tcPr>
          <w:p w:rsidR="00250F56" w:rsidRDefault="00250F56" w:rsidP="00B97D18">
            <w:pPr>
              <w:rPr>
                <w:b/>
              </w:rPr>
            </w:pPr>
            <w:r>
              <w:rPr>
                <w:b/>
              </w:rPr>
              <w:t>1/10 **</w:t>
            </w:r>
          </w:p>
          <w:p w:rsidR="00250F56" w:rsidRDefault="00250F56" w:rsidP="00B97D18">
            <w:r>
              <w:rPr>
                <w:b/>
              </w:rPr>
              <w:t>10%</w:t>
            </w:r>
          </w:p>
        </w:tc>
        <w:tc>
          <w:tcPr>
            <w:tcW w:w="1343" w:type="dxa"/>
          </w:tcPr>
          <w:p w:rsidR="00250F56" w:rsidRDefault="00250F56" w:rsidP="00B97D18">
            <w:r>
              <w:t>6 Projected</w:t>
            </w:r>
          </w:p>
          <w:p w:rsidR="00250F56" w:rsidRDefault="00250F56" w:rsidP="00B97D18">
            <w:r>
              <w:t>Fa2015</w:t>
            </w:r>
          </w:p>
        </w:tc>
        <w:tc>
          <w:tcPr>
            <w:tcW w:w="1315" w:type="dxa"/>
          </w:tcPr>
          <w:p w:rsidR="00250F56" w:rsidRDefault="00250F56" w:rsidP="00B97D18"/>
        </w:tc>
      </w:tr>
      <w:tr w:rsidR="00250F56" w:rsidTr="00B97D18">
        <w:tc>
          <w:tcPr>
            <w:tcW w:w="1346" w:type="dxa"/>
          </w:tcPr>
          <w:p w:rsidR="00250F56" w:rsidRDefault="00250F56" w:rsidP="00B97D18">
            <w:r>
              <w:t>Fall 2014</w:t>
            </w:r>
          </w:p>
          <w:p w:rsidR="00250F56" w:rsidRDefault="00250F56" w:rsidP="00B97D18"/>
        </w:tc>
        <w:tc>
          <w:tcPr>
            <w:tcW w:w="1473" w:type="dxa"/>
          </w:tcPr>
          <w:p w:rsidR="00250F56" w:rsidRDefault="00250F56" w:rsidP="00B97D18">
            <w:r>
              <w:t>32</w:t>
            </w:r>
          </w:p>
        </w:tc>
        <w:tc>
          <w:tcPr>
            <w:tcW w:w="1261" w:type="dxa"/>
          </w:tcPr>
          <w:p w:rsidR="00250F56" w:rsidRDefault="00250F56" w:rsidP="00B97D18">
            <w:r>
              <w:t>18</w:t>
            </w:r>
          </w:p>
        </w:tc>
        <w:tc>
          <w:tcPr>
            <w:tcW w:w="1292" w:type="dxa"/>
          </w:tcPr>
          <w:p w:rsidR="00250F56" w:rsidRDefault="00DE2E9B" w:rsidP="00B97D18">
            <w:r>
              <w:t>0</w:t>
            </w:r>
          </w:p>
        </w:tc>
        <w:tc>
          <w:tcPr>
            <w:tcW w:w="1258" w:type="dxa"/>
          </w:tcPr>
          <w:p w:rsidR="00250F56" w:rsidRDefault="00250F56" w:rsidP="00B97D18">
            <w:r>
              <w:t>0</w:t>
            </w:r>
          </w:p>
          <w:p w:rsidR="00250F56" w:rsidRDefault="00250F56" w:rsidP="00B97D18">
            <w:r>
              <w:t>0%</w:t>
            </w:r>
          </w:p>
        </w:tc>
        <w:tc>
          <w:tcPr>
            <w:tcW w:w="1343" w:type="dxa"/>
          </w:tcPr>
          <w:p w:rsidR="00250F56" w:rsidRDefault="00250F56" w:rsidP="00B97D18">
            <w:r>
              <w:t>9 Projected</w:t>
            </w:r>
          </w:p>
          <w:p w:rsidR="00250F56" w:rsidRDefault="00250F56" w:rsidP="00B97D18">
            <w:r>
              <w:t>Sp2016</w:t>
            </w:r>
          </w:p>
        </w:tc>
        <w:tc>
          <w:tcPr>
            <w:tcW w:w="1315" w:type="dxa"/>
          </w:tcPr>
          <w:p w:rsidR="00250F56" w:rsidRDefault="00250F56" w:rsidP="00B97D18"/>
        </w:tc>
      </w:tr>
      <w:tr w:rsidR="00250F56" w:rsidTr="00B97D18">
        <w:tc>
          <w:tcPr>
            <w:tcW w:w="1346" w:type="dxa"/>
          </w:tcPr>
          <w:p w:rsidR="00250F56" w:rsidRDefault="00250F56" w:rsidP="00B97D18">
            <w:r>
              <w:t>Summer 2015</w:t>
            </w:r>
          </w:p>
        </w:tc>
        <w:tc>
          <w:tcPr>
            <w:tcW w:w="1473" w:type="dxa"/>
          </w:tcPr>
          <w:p w:rsidR="00250F56" w:rsidRDefault="00250F56" w:rsidP="00B97D18">
            <w:r>
              <w:t>20</w:t>
            </w:r>
          </w:p>
        </w:tc>
        <w:tc>
          <w:tcPr>
            <w:tcW w:w="1261" w:type="dxa"/>
          </w:tcPr>
          <w:p w:rsidR="00250F56" w:rsidRDefault="00250F56" w:rsidP="00B97D18">
            <w:r>
              <w:t>16</w:t>
            </w:r>
          </w:p>
        </w:tc>
        <w:tc>
          <w:tcPr>
            <w:tcW w:w="1292" w:type="dxa"/>
          </w:tcPr>
          <w:p w:rsidR="00250F56" w:rsidRDefault="00DE2E9B" w:rsidP="00B97D18">
            <w:r>
              <w:t>1</w:t>
            </w:r>
          </w:p>
        </w:tc>
        <w:tc>
          <w:tcPr>
            <w:tcW w:w="1258" w:type="dxa"/>
          </w:tcPr>
          <w:p w:rsidR="00250F56" w:rsidRDefault="00250F56" w:rsidP="00B97D18"/>
        </w:tc>
        <w:tc>
          <w:tcPr>
            <w:tcW w:w="1343" w:type="dxa"/>
          </w:tcPr>
          <w:p w:rsidR="00250F56" w:rsidRDefault="00250F56" w:rsidP="00B97D18"/>
        </w:tc>
        <w:tc>
          <w:tcPr>
            <w:tcW w:w="1315" w:type="dxa"/>
          </w:tcPr>
          <w:p w:rsidR="00250F56" w:rsidRDefault="00250F56" w:rsidP="00B97D18"/>
        </w:tc>
      </w:tr>
      <w:tr w:rsidR="00250F56" w:rsidTr="00B97D18">
        <w:tc>
          <w:tcPr>
            <w:tcW w:w="1346" w:type="dxa"/>
          </w:tcPr>
          <w:p w:rsidR="00250F56" w:rsidRDefault="00250F56" w:rsidP="00B97D18">
            <w:r>
              <w:t>Fall 2015</w:t>
            </w:r>
          </w:p>
        </w:tc>
        <w:tc>
          <w:tcPr>
            <w:tcW w:w="1473" w:type="dxa"/>
          </w:tcPr>
          <w:p w:rsidR="00250F56" w:rsidRDefault="00DE2E9B" w:rsidP="00B97D18">
            <w:r>
              <w:t>27</w:t>
            </w:r>
          </w:p>
        </w:tc>
        <w:tc>
          <w:tcPr>
            <w:tcW w:w="1261" w:type="dxa"/>
          </w:tcPr>
          <w:p w:rsidR="00250F56" w:rsidRDefault="00DE2E9B" w:rsidP="00B97D18">
            <w:r>
              <w:t>19</w:t>
            </w:r>
          </w:p>
        </w:tc>
        <w:tc>
          <w:tcPr>
            <w:tcW w:w="1292" w:type="dxa"/>
          </w:tcPr>
          <w:p w:rsidR="00250F56" w:rsidRDefault="00DE2E9B" w:rsidP="00B97D18">
            <w:r>
              <w:t>0</w:t>
            </w:r>
          </w:p>
        </w:tc>
        <w:tc>
          <w:tcPr>
            <w:tcW w:w="1258" w:type="dxa"/>
          </w:tcPr>
          <w:p w:rsidR="00250F56" w:rsidRDefault="00250F56" w:rsidP="00B97D18"/>
        </w:tc>
        <w:tc>
          <w:tcPr>
            <w:tcW w:w="1343" w:type="dxa"/>
          </w:tcPr>
          <w:p w:rsidR="00250F56" w:rsidRDefault="00250F56" w:rsidP="00B97D18"/>
        </w:tc>
        <w:tc>
          <w:tcPr>
            <w:tcW w:w="1315" w:type="dxa"/>
          </w:tcPr>
          <w:p w:rsidR="00250F56" w:rsidRDefault="00250F56" w:rsidP="00B97D18"/>
        </w:tc>
      </w:tr>
    </w:tbl>
    <w:p w:rsidR="00250F56" w:rsidRDefault="00250F56" w:rsidP="00250F56"/>
    <w:p w:rsidR="00250F56" w:rsidRPr="00735DD1" w:rsidRDefault="00250F56" w:rsidP="00250F56">
      <w:pPr>
        <w:pStyle w:val="ListParagraph"/>
        <w:numPr>
          <w:ilvl w:val="0"/>
          <w:numId w:val="9"/>
        </w:numPr>
        <w:rPr>
          <w:b/>
        </w:rPr>
      </w:pPr>
      <w:r w:rsidRPr="00735DD1">
        <w:rPr>
          <w:b/>
        </w:rPr>
        <w:t>NAACLS Benchmark For Graduation Rates: Three years consecutive results of graduation rates demonstrating an average of at least 70% of students who have begun the final half of the program go on to successfully graduate from the program as calculated by the most recent three year period.</w:t>
      </w:r>
    </w:p>
    <w:p w:rsidR="00250F56" w:rsidRDefault="00250F56" w:rsidP="00250F56">
      <w:pPr>
        <w:pStyle w:val="ListParagraph"/>
        <w:numPr>
          <w:ilvl w:val="0"/>
          <w:numId w:val="7"/>
        </w:numPr>
        <w:rPr>
          <w:b/>
        </w:rPr>
      </w:pPr>
      <w:r w:rsidRPr="003A5393">
        <w:t>Retention rate –</w:t>
      </w:r>
      <w:r>
        <w:t xml:space="preserve"> NAACLS defined attrition as student leaving the program after starting the second year of the program. We are using the third semester to define our attrition rates.</w:t>
      </w:r>
      <w:r w:rsidRPr="00E55C7B">
        <w:rPr>
          <w:b/>
        </w:rPr>
        <w:t xml:space="preserve"> ** reflects the new standard for attrition beginning third semester. Previous rates were calculated on</w:t>
      </w:r>
      <w:r>
        <w:rPr>
          <w:b/>
        </w:rPr>
        <w:t xml:space="preserve"> the number of students admitted to the program.</w:t>
      </w:r>
    </w:p>
    <w:p w:rsidR="004C1C41" w:rsidRDefault="004C1C41" w:rsidP="00250F56">
      <w:pPr>
        <w:pStyle w:val="ListParagraph"/>
        <w:numPr>
          <w:ilvl w:val="0"/>
          <w:numId w:val="7"/>
        </w:numPr>
        <w:rPr>
          <w:b/>
        </w:rPr>
      </w:pPr>
      <w:r>
        <w:t>Using this new benchmark as adopted in 2012</w:t>
      </w:r>
      <w:r w:rsidR="00FB5550">
        <w:t>,</w:t>
      </w:r>
      <w:r>
        <w:t xml:space="preserve"> to date we only have two years of data but we have demonstrated a 96% graduation rate using all student</w:t>
      </w:r>
      <w:r w:rsidR="00FB5550">
        <w:t>s</w:t>
      </w:r>
      <w:r>
        <w:t xml:space="preserve"> entering their third semester.</w:t>
      </w:r>
    </w:p>
    <w:p w:rsidR="00250F56" w:rsidRPr="00E55C7B" w:rsidRDefault="00250F56" w:rsidP="00250F56">
      <w:pPr>
        <w:pStyle w:val="ListParagraph"/>
        <w:numPr>
          <w:ilvl w:val="0"/>
          <w:numId w:val="7"/>
        </w:numPr>
        <w:rPr>
          <w:b/>
        </w:rPr>
      </w:pPr>
      <w:r>
        <w:t>The number of complete application packets has decreased over the last two admission cycles. Due</w:t>
      </w:r>
      <w:r w:rsidRPr="00164BD0">
        <w:t xml:space="preserve"> to the availability of facilities providing a clinical practicum the selec</w:t>
      </w:r>
      <w:r>
        <w:t xml:space="preserve">tion of each class </w:t>
      </w:r>
      <w:r w:rsidR="004C1C41">
        <w:t xml:space="preserve">is </w:t>
      </w:r>
      <w:r>
        <w:t>limited to 20-22</w:t>
      </w:r>
      <w:r w:rsidRPr="00164BD0">
        <w:t xml:space="preserve"> students.  </w:t>
      </w:r>
      <w:r>
        <w:t xml:space="preserve">We have been able to offer every applicant meeting minimum requirement admission into the program. </w:t>
      </w:r>
      <w:r w:rsidR="004C1C41">
        <w:t>Reasons s</w:t>
      </w:r>
      <w:r>
        <w:t>tudent</w:t>
      </w:r>
      <w:r w:rsidR="004C1C41">
        <w:t xml:space="preserve"> do not enter</w:t>
      </w:r>
      <w:r>
        <w:t xml:space="preserve"> the program are usually related to financial aid and </w:t>
      </w:r>
      <w:r w:rsidR="004C1C41">
        <w:t xml:space="preserve">admission to </w:t>
      </w:r>
      <w:r>
        <w:t>another degree program. We will look at recruiting efforts in the future with the addition of CLT100 and CLT131 to be offere</w:t>
      </w:r>
      <w:r w:rsidR="004C1C41">
        <w:t>d to general student population.</w:t>
      </w:r>
    </w:p>
    <w:p w:rsidR="00250F56" w:rsidRPr="00E55C7B" w:rsidRDefault="00250F56" w:rsidP="00250F56">
      <w:pPr>
        <w:pStyle w:val="ListParagraph"/>
        <w:rPr>
          <w:b/>
        </w:rPr>
      </w:pPr>
    </w:p>
    <w:p w:rsidR="00250F56" w:rsidRPr="004C66C4" w:rsidRDefault="004C1C41" w:rsidP="00250F56">
      <w:pPr>
        <w:spacing w:after="0"/>
        <w:rPr>
          <w:b/>
        </w:rPr>
      </w:pPr>
      <w:r>
        <w:rPr>
          <w:b/>
        </w:rPr>
        <w:t>IV</w:t>
      </w:r>
      <w:r w:rsidR="00250F56">
        <w:rPr>
          <w:b/>
        </w:rPr>
        <w:t xml:space="preserve">. </w:t>
      </w:r>
      <w:r w:rsidR="00250F56" w:rsidRPr="0071090D">
        <w:rPr>
          <w:b/>
        </w:rPr>
        <w:t xml:space="preserve">Job Placement </w:t>
      </w:r>
      <w:r w:rsidR="00250F56">
        <w:rPr>
          <w:b/>
        </w:rPr>
        <w:t>CLT</w:t>
      </w:r>
      <w:r w:rsidR="00250F56" w:rsidRPr="0071090D">
        <w:rPr>
          <w:b/>
        </w:rPr>
        <w:t>:</w:t>
      </w:r>
    </w:p>
    <w:tbl>
      <w:tblPr>
        <w:tblStyle w:val="TableGrid"/>
        <w:tblW w:w="0" w:type="auto"/>
        <w:tblLook w:val="04A0" w:firstRow="1" w:lastRow="0" w:firstColumn="1" w:lastColumn="0" w:noHBand="0" w:noVBand="1"/>
      </w:tblPr>
      <w:tblGrid>
        <w:gridCol w:w="1732"/>
        <w:gridCol w:w="1768"/>
        <w:gridCol w:w="1329"/>
        <w:gridCol w:w="1329"/>
        <w:gridCol w:w="1108"/>
        <w:gridCol w:w="485"/>
        <w:gridCol w:w="483"/>
        <w:gridCol w:w="481"/>
        <w:gridCol w:w="501"/>
      </w:tblGrid>
      <w:tr w:rsidR="00250F56" w:rsidTr="00B97D18">
        <w:trPr>
          <w:trHeight w:val="135"/>
        </w:trPr>
        <w:tc>
          <w:tcPr>
            <w:tcW w:w="1732" w:type="dxa"/>
            <w:vMerge w:val="restart"/>
          </w:tcPr>
          <w:p w:rsidR="00250F56" w:rsidRDefault="00250F56" w:rsidP="00B97D18">
            <w:pPr>
              <w:jc w:val="center"/>
            </w:pPr>
            <w:r>
              <w:t>Year</w:t>
            </w:r>
          </w:p>
        </w:tc>
        <w:tc>
          <w:tcPr>
            <w:tcW w:w="1768" w:type="dxa"/>
            <w:vMerge w:val="restart"/>
          </w:tcPr>
          <w:p w:rsidR="00250F56" w:rsidRDefault="00250F56" w:rsidP="00B97D18">
            <w:pPr>
              <w:jc w:val="center"/>
            </w:pPr>
            <w:r>
              <w:t># Program graduates</w:t>
            </w:r>
          </w:p>
        </w:tc>
        <w:tc>
          <w:tcPr>
            <w:tcW w:w="1329" w:type="dxa"/>
            <w:vMerge w:val="restart"/>
          </w:tcPr>
          <w:p w:rsidR="00250F56" w:rsidRDefault="00250F56" w:rsidP="00B97D18">
            <w:pPr>
              <w:jc w:val="center"/>
            </w:pPr>
            <w:r>
              <w:t># Continuing Education</w:t>
            </w:r>
          </w:p>
        </w:tc>
        <w:tc>
          <w:tcPr>
            <w:tcW w:w="1329" w:type="dxa"/>
            <w:vMerge w:val="restart"/>
          </w:tcPr>
          <w:p w:rsidR="00250F56" w:rsidRDefault="00250F56" w:rsidP="00B97D18">
            <w:pPr>
              <w:jc w:val="center"/>
            </w:pPr>
            <w:r>
              <w:t># working in field</w:t>
            </w:r>
          </w:p>
        </w:tc>
        <w:tc>
          <w:tcPr>
            <w:tcW w:w="1108" w:type="dxa"/>
            <w:vMerge w:val="restart"/>
          </w:tcPr>
          <w:p w:rsidR="00250F56" w:rsidRDefault="00250F56" w:rsidP="00B97D18">
            <w:pPr>
              <w:jc w:val="center"/>
            </w:pPr>
            <w:r>
              <w:t>% employed in field</w:t>
            </w:r>
          </w:p>
        </w:tc>
        <w:tc>
          <w:tcPr>
            <w:tcW w:w="1950" w:type="dxa"/>
            <w:gridSpan w:val="4"/>
          </w:tcPr>
          <w:p w:rsidR="00250F56" w:rsidRDefault="00250F56" w:rsidP="00B97D18">
            <w:pPr>
              <w:jc w:val="center"/>
            </w:pPr>
            <w:r>
              <w:t>Type facility</w:t>
            </w:r>
          </w:p>
        </w:tc>
      </w:tr>
      <w:tr w:rsidR="00250F56" w:rsidTr="00B97D18">
        <w:trPr>
          <w:trHeight w:val="135"/>
        </w:trPr>
        <w:tc>
          <w:tcPr>
            <w:tcW w:w="1732" w:type="dxa"/>
            <w:vMerge/>
          </w:tcPr>
          <w:p w:rsidR="00250F56" w:rsidRDefault="00250F56" w:rsidP="00B97D18">
            <w:pPr>
              <w:jc w:val="center"/>
            </w:pPr>
          </w:p>
        </w:tc>
        <w:tc>
          <w:tcPr>
            <w:tcW w:w="1768" w:type="dxa"/>
            <w:vMerge/>
          </w:tcPr>
          <w:p w:rsidR="00250F56" w:rsidRDefault="00250F56" w:rsidP="00B97D18">
            <w:pPr>
              <w:jc w:val="center"/>
            </w:pPr>
          </w:p>
        </w:tc>
        <w:tc>
          <w:tcPr>
            <w:tcW w:w="1329" w:type="dxa"/>
            <w:vMerge/>
          </w:tcPr>
          <w:p w:rsidR="00250F56" w:rsidRDefault="00250F56" w:rsidP="00B97D18">
            <w:pPr>
              <w:jc w:val="center"/>
            </w:pPr>
          </w:p>
        </w:tc>
        <w:tc>
          <w:tcPr>
            <w:tcW w:w="1329" w:type="dxa"/>
            <w:vMerge/>
          </w:tcPr>
          <w:p w:rsidR="00250F56" w:rsidRDefault="00250F56" w:rsidP="00B97D18">
            <w:pPr>
              <w:jc w:val="center"/>
            </w:pPr>
          </w:p>
        </w:tc>
        <w:tc>
          <w:tcPr>
            <w:tcW w:w="1108" w:type="dxa"/>
            <w:vMerge/>
          </w:tcPr>
          <w:p w:rsidR="00250F56" w:rsidRDefault="00250F56" w:rsidP="00B97D18">
            <w:pPr>
              <w:jc w:val="center"/>
            </w:pPr>
          </w:p>
        </w:tc>
        <w:tc>
          <w:tcPr>
            <w:tcW w:w="485" w:type="dxa"/>
          </w:tcPr>
          <w:p w:rsidR="00250F56" w:rsidRDefault="00250F56" w:rsidP="00B97D18">
            <w:pPr>
              <w:jc w:val="center"/>
            </w:pPr>
            <w:r>
              <w:t>H</w:t>
            </w:r>
          </w:p>
        </w:tc>
        <w:tc>
          <w:tcPr>
            <w:tcW w:w="483" w:type="dxa"/>
          </w:tcPr>
          <w:p w:rsidR="00250F56" w:rsidRDefault="00250F56" w:rsidP="00B97D18">
            <w:pPr>
              <w:jc w:val="center"/>
            </w:pPr>
            <w:r>
              <w:t>RL</w:t>
            </w:r>
          </w:p>
        </w:tc>
        <w:tc>
          <w:tcPr>
            <w:tcW w:w="481" w:type="dxa"/>
          </w:tcPr>
          <w:p w:rsidR="00250F56" w:rsidRDefault="00250F56" w:rsidP="00B97D18">
            <w:pPr>
              <w:jc w:val="center"/>
            </w:pPr>
            <w:r>
              <w:t>SL</w:t>
            </w:r>
          </w:p>
        </w:tc>
        <w:tc>
          <w:tcPr>
            <w:tcW w:w="501" w:type="dxa"/>
          </w:tcPr>
          <w:p w:rsidR="00250F56" w:rsidRDefault="00250F56" w:rsidP="00B97D18">
            <w:pPr>
              <w:jc w:val="center"/>
            </w:pPr>
            <w:r>
              <w:t>DO</w:t>
            </w:r>
          </w:p>
        </w:tc>
      </w:tr>
      <w:tr w:rsidR="00250F56" w:rsidTr="00B97D18">
        <w:tc>
          <w:tcPr>
            <w:tcW w:w="1732" w:type="dxa"/>
          </w:tcPr>
          <w:p w:rsidR="00250F56" w:rsidRDefault="00250F56" w:rsidP="00B97D18">
            <w:pPr>
              <w:jc w:val="center"/>
            </w:pPr>
            <w:r>
              <w:t>2009-2010</w:t>
            </w:r>
          </w:p>
        </w:tc>
        <w:tc>
          <w:tcPr>
            <w:tcW w:w="1768" w:type="dxa"/>
          </w:tcPr>
          <w:p w:rsidR="00250F56" w:rsidRDefault="00250F56" w:rsidP="00B97D18">
            <w:pPr>
              <w:jc w:val="center"/>
            </w:pPr>
            <w:r>
              <w:t>20</w:t>
            </w:r>
          </w:p>
        </w:tc>
        <w:tc>
          <w:tcPr>
            <w:tcW w:w="1329" w:type="dxa"/>
          </w:tcPr>
          <w:p w:rsidR="00250F56" w:rsidRDefault="00250F56" w:rsidP="00B97D18">
            <w:pPr>
              <w:jc w:val="center"/>
            </w:pPr>
            <w:r>
              <w:t>0</w:t>
            </w:r>
          </w:p>
        </w:tc>
        <w:tc>
          <w:tcPr>
            <w:tcW w:w="1329" w:type="dxa"/>
          </w:tcPr>
          <w:p w:rsidR="00250F56" w:rsidRDefault="00250F56" w:rsidP="00B97D18">
            <w:pPr>
              <w:jc w:val="center"/>
            </w:pPr>
            <w:r>
              <w:t>20</w:t>
            </w:r>
          </w:p>
        </w:tc>
        <w:tc>
          <w:tcPr>
            <w:tcW w:w="1108" w:type="dxa"/>
          </w:tcPr>
          <w:p w:rsidR="00250F56" w:rsidRDefault="00250F56" w:rsidP="00B97D18">
            <w:pPr>
              <w:jc w:val="center"/>
            </w:pPr>
            <w:r>
              <w:t>100%</w:t>
            </w:r>
          </w:p>
        </w:tc>
        <w:tc>
          <w:tcPr>
            <w:tcW w:w="485" w:type="dxa"/>
          </w:tcPr>
          <w:p w:rsidR="00250F56" w:rsidRDefault="00250F56" w:rsidP="00B97D18">
            <w:pPr>
              <w:jc w:val="center"/>
            </w:pPr>
            <w:r>
              <w:t>13</w:t>
            </w:r>
          </w:p>
        </w:tc>
        <w:tc>
          <w:tcPr>
            <w:tcW w:w="483" w:type="dxa"/>
          </w:tcPr>
          <w:p w:rsidR="00250F56" w:rsidRDefault="00250F56" w:rsidP="00B97D18">
            <w:pPr>
              <w:jc w:val="center"/>
            </w:pPr>
            <w:r>
              <w:t>4</w:t>
            </w:r>
          </w:p>
        </w:tc>
        <w:tc>
          <w:tcPr>
            <w:tcW w:w="481" w:type="dxa"/>
          </w:tcPr>
          <w:p w:rsidR="00250F56" w:rsidRDefault="00250F56" w:rsidP="00B97D18">
            <w:pPr>
              <w:jc w:val="center"/>
            </w:pPr>
            <w:r>
              <w:t>1</w:t>
            </w:r>
          </w:p>
        </w:tc>
        <w:tc>
          <w:tcPr>
            <w:tcW w:w="501" w:type="dxa"/>
          </w:tcPr>
          <w:p w:rsidR="00250F56" w:rsidRDefault="00250F56" w:rsidP="00B97D18">
            <w:pPr>
              <w:jc w:val="center"/>
            </w:pPr>
            <w:r>
              <w:t>2</w:t>
            </w:r>
          </w:p>
        </w:tc>
      </w:tr>
      <w:tr w:rsidR="00250F56" w:rsidTr="00B97D18">
        <w:tc>
          <w:tcPr>
            <w:tcW w:w="1732" w:type="dxa"/>
          </w:tcPr>
          <w:p w:rsidR="00250F56" w:rsidRDefault="00250F56" w:rsidP="00B97D18">
            <w:pPr>
              <w:jc w:val="center"/>
            </w:pPr>
            <w:r>
              <w:t>2010-2011</w:t>
            </w:r>
          </w:p>
        </w:tc>
        <w:tc>
          <w:tcPr>
            <w:tcW w:w="1768" w:type="dxa"/>
          </w:tcPr>
          <w:p w:rsidR="00250F56" w:rsidRDefault="00250F56" w:rsidP="00B97D18">
            <w:pPr>
              <w:jc w:val="center"/>
            </w:pPr>
            <w:r>
              <w:t>22</w:t>
            </w:r>
          </w:p>
        </w:tc>
        <w:tc>
          <w:tcPr>
            <w:tcW w:w="1329" w:type="dxa"/>
          </w:tcPr>
          <w:p w:rsidR="00250F56" w:rsidRDefault="00250F56" w:rsidP="00B97D18">
            <w:pPr>
              <w:jc w:val="center"/>
            </w:pPr>
            <w:r>
              <w:t>0</w:t>
            </w:r>
          </w:p>
        </w:tc>
        <w:tc>
          <w:tcPr>
            <w:tcW w:w="1329" w:type="dxa"/>
          </w:tcPr>
          <w:p w:rsidR="00250F56" w:rsidRDefault="00250F56" w:rsidP="00B97D18">
            <w:pPr>
              <w:jc w:val="center"/>
            </w:pPr>
            <w:r>
              <w:t>22</w:t>
            </w:r>
          </w:p>
        </w:tc>
        <w:tc>
          <w:tcPr>
            <w:tcW w:w="1108" w:type="dxa"/>
          </w:tcPr>
          <w:p w:rsidR="00250F56" w:rsidRDefault="00250F56" w:rsidP="00B97D18">
            <w:pPr>
              <w:jc w:val="center"/>
            </w:pPr>
            <w:r>
              <w:t>100%</w:t>
            </w:r>
          </w:p>
        </w:tc>
        <w:tc>
          <w:tcPr>
            <w:tcW w:w="485" w:type="dxa"/>
          </w:tcPr>
          <w:p w:rsidR="00250F56" w:rsidRDefault="00250F56" w:rsidP="00B97D18">
            <w:pPr>
              <w:jc w:val="center"/>
            </w:pPr>
            <w:r>
              <w:t>5</w:t>
            </w:r>
          </w:p>
        </w:tc>
        <w:tc>
          <w:tcPr>
            <w:tcW w:w="483" w:type="dxa"/>
          </w:tcPr>
          <w:p w:rsidR="00250F56" w:rsidRDefault="00250F56" w:rsidP="00B97D18">
            <w:pPr>
              <w:jc w:val="center"/>
            </w:pPr>
            <w:r>
              <w:t>5</w:t>
            </w:r>
          </w:p>
        </w:tc>
        <w:tc>
          <w:tcPr>
            <w:tcW w:w="481" w:type="dxa"/>
          </w:tcPr>
          <w:p w:rsidR="00250F56" w:rsidRDefault="00250F56" w:rsidP="00B97D18">
            <w:pPr>
              <w:jc w:val="center"/>
            </w:pPr>
            <w:r>
              <w:t>3</w:t>
            </w:r>
          </w:p>
        </w:tc>
        <w:tc>
          <w:tcPr>
            <w:tcW w:w="501" w:type="dxa"/>
          </w:tcPr>
          <w:p w:rsidR="00250F56" w:rsidRDefault="00250F56" w:rsidP="00B97D18">
            <w:pPr>
              <w:jc w:val="center"/>
            </w:pPr>
            <w:r>
              <w:t>9</w:t>
            </w:r>
          </w:p>
        </w:tc>
      </w:tr>
      <w:tr w:rsidR="00250F56" w:rsidTr="00B97D18">
        <w:tc>
          <w:tcPr>
            <w:tcW w:w="1732" w:type="dxa"/>
          </w:tcPr>
          <w:p w:rsidR="00250F56" w:rsidRDefault="00250F56" w:rsidP="00B97D18">
            <w:pPr>
              <w:jc w:val="center"/>
            </w:pPr>
            <w:r>
              <w:t>2011-2012</w:t>
            </w:r>
          </w:p>
        </w:tc>
        <w:tc>
          <w:tcPr>
            <w:tcW w:w="1768" w:type="dxa"/>
          </w:tcPr>
          <w:p w:rsidR="00250F56" w:rsidRDefault="00250F56" w:rsidP="00B97D18">
            <w:pPr>
              <w:jc w:val="center"/>
            </w:pPr>
            <w:r>
              <w:t>23</w:t>
            </w:r>
          </w:p>
        </w:tc>
        <w:tc>
          <w:tcPr>
            <w:tcW w:w="1329" w:type="dxa"/>
          </w:tcPr>
          <w:p w:rsidR="00250F56" w:rsidRDefault="00250F56" w:rsidP="00B97D18">
            <w:pPr>
              <w:jc w:val="center"/>
            </w:pPr>
            <w:r>
              <w:t>0</w:t>
            </w:r>
          </w:p>
        </w:tc>
        <w:tc>
          <w:tcPr>
            <w:tcW w:w="1329" w:type="dxa"/>
          </w:tcPr>
          <w:p w:rsidR="00250F56" w:rsidRDefault="00250F56" w:rsidP="00B97D18">
            <w:pPr>
              <w:jc w:val="center"/>
            </w:pPr>
            <w:r>
              <w:t>22</w:t>
            </w:r>
          </w:p>
        </w:tc>
        <w:tc>
          <w:tcPr>
            <w:tcW w:w="1108" w:type="dxa"/>
          </w:tcPr>
          <w:p w:rsidR="00250F56" w:rsidRDefault="00250F56" w:rsidP="00B97D18">
            <w:pPr>
              <w:jc w:val="center"/>
            </w:pPr>
            <w:r>
              <w:t>96%</w:t>
            </w:r>
          </w:p>
        </w:tc>
        <w:tc>
          <w:tcPr>
            <w:tcW w:w="485" w:type="dxa"/>
          </w:tcPr>
          <w:p w:rsidR="00250F56" w:rsidRDefault="00250F56" w:rsidP="00B97D18">
            <w:pPr>
              <w:jc w:val="center"/>
            </w:pPr>
            <w:r>
              <w:t>11</w:t>
            </w:r>
          </w:p>
        </w:tc>
        <w:tc>
          <w:tcPr>
            <w:tcW w:w="483" w:type="dxa"/>
          </w:tcPr>
          <w:p w:rsidR="00250F56" w:rsidRDefault="00250F56" w:rsidP="00B97D18">
            <w:pPr>
              <w:jc w:val="center"/>
            </w:pPr>
            <w:r>
              <w:t>5</w:t>
            </w:r>
          </w:p>
        </w:tc>
        <w:tc>
          <w:tcPr>
            <w:tcW w:w="481" w:type="dxa"/>
          </w:tcPr>
          <w:p w:rsidR="00250F56" w:rsidRDefault="00250F56" w:rsidP="00B97D18">
            <w:pPr>
              <w:jc w:val="center"/>
            </w:pPr>
            <w:r>
              <w:t>4</w:t>
            </w:r>
          </w:p>
        </w:tc>
        <w:tc>
          <w:tcPr>
            <w:tcW w:w="501" w:type="dxa"/>
          </w:tcPr>
          <w:p w:rsidR="00250F56" w:rsidRDefault="00250F56" w:rsidP="00B97D18">
            <w:pPr>
              <w:jc w:val="center"/>
            </w:pPr>
            <w:r>
              <w:t>2</w:t>
            </w:r>
          </w:p>
        </w:tc>
      </w:tr>
      <w:tr w:rsidR="00250F56" w:rsidTr="00B97D18">
        <w:tc>
          <w:tcPr>
            <w:tcW w:w="1732" w:type="dxa"/>
          </w:tcPr>
          <w:p w:rsidR="00250F56" w:rsidRDefault="00250F56" w:rsidP="00B97D18">
            <w:pPr>
              <w:jc w:val="center"/>
            </w:pPr>
            <w:r>
              <w:t>2012-2013</w:t>
            </w:r>
          </w:p>
        </w:tc>
        <w:tc>
          <w:tcPr>
            <w:tcW w:w="1768" w:type="dxa"/>
          </w:tcPr>
          <w:p w:rsidR="00250F56" w:rsidRDefault="00250F56" w:rsidP="00B97D18">
            <w:pPr>
              <w:jc w:val="center"/>
            </w:pPr>
            <w:r>
              <w:t>21</w:t>
            </w:r>
          </w:p>
        </w:tc>
        <w:tc>
          <w:tcPr>
            <w:tcW w:w="1329" w:type="dxa"/>
          </w:tcPr>
          <w:p w:rsidR="00250F56" w:rsidRDefault="00250F56" w:rsidP="00B97D18">
            <w:pPr>
              <w:jc w:val="center"/>
            </w:pPr>
            <w:r>
              <w:t>0</w:t>
            </w:r>
          </w:p>
        </w:tc>
        <w:tc>
          <w:tcPr>
            <w:tcW w:w="1329" w:type="dxa"/>
          </w:tcPr>
          <w:p w:rsidR="00250F56" w:rsidRDefault="00250F56" w:rsidP="00B97D18">
            <w:pPr>
              <w:jc w:val="center"/>
            </w:pPr>
            <w:r>
              <w:t>20</w:t>
            </w:r>
          </w:p>
        </w:tc>
        <w:tc>
          <w:tcPr>
            <w:tcW w:w="1108" w:type="dxa"/>
          </w:tcPr>
          <w:p w:rsidR="00250F56" w:rsidRDefault="00250F56" w:rsidP="00B97D18">
            <w:pPr>
              <w:jc w:val="center"/>
            </w:pPr>
            <w:r>
              <w:t>95%</w:t>
            </w:r>
          </w:p>
        </w:tc>
        <w:tc>
          <w:tcPr>
            <w:tcW w:w="485" w:type="dxa"/>
          </w:tcPr>
          <w:p w:rsidR="00250F56" w:rsidRDefault="00250F56" w:rsidP="00B97D18">
            <w:pPr>
              <w:jc w:val="center"/>
            </w:pPr>
            <w:r>
              <w:t>10</w:t>
            </w:r>
          </w:p>
        </w:tc>
        <w:tc>
          <w:tcPr>
            <w:tcW w:w="483" w:type="dxa"/>
          </w:tcPr>
          <w:p w:rsidR="00250F56" w:rsidRDefault="00250F56" w:rsidP="00B97D18">
            <w:pPr>
              <w:jc w:val="center"/>
            </w:pPr>
            <w:r>
              <w:t>1</w:t>
            </w:r>
          </w:p>
        </w:tc>
        <w:tc>
          <w:tcPr>
            <w:tcW w:w="481" w:type="dxa"/>
          </w:tcPr>
          <w:p w:rsidR="00250F56" w:rsidRDefault="00250F56" w:rsidP="00B97D18">
            <w:pPr>
              <w:jc w:val="center"/>
            </w:pPr>
            <w:r>
              <w:t>5</w:t>
            </w:r>
          </w:p>
        </w:tc>
        <w:tc>
          <w:tcPr>
            <w:tcW w:w="501" w:type="dxa"/>
          </w:tcPr>
          <w:p w:rsidR="00250F56" w:rsidRDefault="00250F56" w:rsidP="00B97D18">
            <w:pPr>
              <w:jc w:val="center"/>
            </w:pPr>
            <w:r>
              <w:t>4</w:t>
            </w:r>
          </w:p>
        </w:tc>
      </w:tr>
      <w:tr w:rsidR="00250F56" w:rsidTr="00B97D18">
        <w:tc>
          <w:tcPr>
            <w:tcW w:w="1732" w:type="dxa"/>
          </w:tcPr>
          <w:p w:rsidR="00250F56" w:rsidRDefault="00250F56" w:rsidP="00B97D18">
            <w:pPr>
              <w:jc w:val="center"/>
            </w:pPr>
            <w:r>
              <w:t>2013-2014</w:t>
            </w:r>
          </w:p>
        </w:tc>
        <w:tc>
          <w:tcPr>
            <w:tcW w:w="1768" w:type="dxa"/>
          </w:tcPr>
          <w:p w:rsidR="00250F56" w:rsidRDefault="00250F56" w:rsidP="00B97D18">
            <w:pPr>
              <w:jc w:val="center"/>
            </w:pPr>
            <w:r>
              <w:t>23</w:t>
            </w:r>
          </w:p>
        </w:tc>
        <w:tc>
          <w:tcPr>
            <w:tcW w:w="1329" w:type="dxa"/>
          </w:tcPr>
          <w:p w:rsidR="00250F56" w:rsidRDefault="00250F56" w:rsidP="00B97D18">
            <w:pPr>
              <w:jc w:val="center"/>
            </w:pPr>
            <w:r>
              <w:t>0</w:t>
            </w:r>
          </w:p>
        </w:tc>
        <w:tc>
          <w:tcPr>
            <w:tcW w:w="1329" w:type="dxa"/>
          </w:tcPr>
          <w:p w:rsidR="00250F56" w:rsidRDefault="00FD4B4D" w:rsidP="00B97D18">
            <w:pPr>
              <w:jc w:val="center"/>
            </w:pPr>
            <w:r>
              <w:t>20</w:t>
            </w:r>
          </w:p>
        </w:tc>
        <w:tc>
          <w:tcPr>
            <w:tcW w:w="1108" w:type="dxa"/>
          </w:tcPr>
          <w:p w:rsidR="00250F56" w:rsidRDefault="00FD4B4D" w:rsidP="00B97D18">
            <w:pPr>
              <w:jc w:val="center"/>
            </w:pPr>
            <w:r>
              <w:t>87</w:t>
            </w:r>
            <w:r w:rsidR="00250F56">
              <w:t>%</w:t>
            </w:r>
          </w:p>
        </w:tc>
        <w:tc>
          <w:tcPr>
            <w:tcW w:w="485" w:type="dxa"/>
          </w:tcPr>
          <w:p w:rsidR="00250F56" w:rsidRDefault="00250F56" w:rsidP="00B97D18">
            <w:pPr>
              <w:jc w:val="center"/>
            </w:pPr>
            <w:r>
              <w:t>14</w:t>
            </w:r>
          </w:p>
        </w:tc>
        <w:tc>
          <w:tcPr>
            <w:tcW w:w="483" w:type="dxa"/>
          </w:tcPr>
          <w:p w:rsidR="00250F56" w:rsidRDefault="00250F56" w:rsidP="00B97D18">
            <w:pPr>
              <w:jc w:val="center"/>
            </w:pPr>
          </w:p>
        </w:tc>
        <w:tc>
          <w:tcPr>
            <w:tcW w:w="481" w:type="dxa"/>
          </w:tcPr>
          <w:p w:rsidR="00250F56" w:rsidRDefault="00250F56" w:rsidP="00B97D18">
            <w:pPr>
              <w:jc w:val="center"/>
            </w:pPr>
            <w:r>
              <w:t>2</w:t>
            </w:r>
          </w:p>
        </w:tc>
        <w:tc>
          <w:tcPr>
            <w:tcW w:w="501" w:type="dxa"/>
          </w:tcPr>
          <w:p w:rsidR="00250F56" w:rsidRDefault="00FD4B4D" w:rsidP="00B97D18">
            <w:pPr>
              <w:jc w:val="center"/>
            </w:pPr>
            <w:r>
              <w:t>4</w:t>
            </w:r>
          </w:p>
        </w:tc>
      </w:tr>
      <w:tr w:rsidR="00250F56" w:rsidTr="00B97D18">
        <w:tc>
          <w:tcPr>
            <w:tcW w:w="1732" w:type="dxa"/>
          </w:tcPr>
          <w:p w:rsidR="00250F56" w:rsidRDefault="00250F56" w:rsidP="00B97D18">
            <w:pPr>
              <w:jc w:val="center"/>
            </w:pPr>
            <w:r>
              <w:t>2014-2015</w:t>
            </w:r>
          </w:p>
        </w:tc>
        <w:tc>
          <w:tcPr>
            <w:tcW w:w="1768" w:type="dxa"/>
          </w:tcPr>
          <w:p w:rsidR="00250F56" w:rsidRDefault="004C1C41" w:rsidP="00B97D18">
            <w:pPr>
              <w:jc w:val="center"/>
            </w:pPr>
            <w:r>
              <w:t>21</w:t>
            </w:r>
          </w:p>
        </w:tc>
        <w:tc>
          <w:tcPr>
            <w:tcW w:w="1329" w:type="dxa"/>
          </w:tcPr>
          <w:p w:rsidR="00250F56" w:rsidRDefault="00250F56" w:rsidP="00B97D18">
            <w:pPr>
              <w:jc w:val="center"/>
            </w:pPr>
            <w:r>
              <w:t>1</w:t>
            </w:r>
          </w:p>
        </w:tc>
        <w:tc>
          <w:tcPr>
            <w:tcW w:w="1329" w:type="dxa"/>
          </w:tcPr>
          <w:p w:rsidR="00250F56" w:rsidRDefault="004C1C41" w:rsidP="00B97D18">
            <w:pPr>
              <w:jc w:val="center"/>
            </w:pPr>
            <w:r>
              <w:t>20</w:t>
            </w:r>
          </w:p>
          <w:p w:rsidR="00250F56" w:rsidRDefault="00250F56" w:rsidP="00B97D18">
            <w:pPr>
              <w:jc w:val="center"/>
            </w:pPr>
          </w:p>
        </w:tc>
        <w:tc>
          <w:tcPr>
            <w:tcW w:w="1108" w:type="dxa"/>
          </w:tcPr>
          <w:p w:rsidR="00250F56" w:rsidRDefault="00250F56" w:rsidP="00B97D18">
            <w:pPr>
              <w:jc w:val="center"/>
            </w:pPr>
            <w:r>
              <w:t>100%</w:t>
            </w:r>
          </w:p>
        </w:tc>
        <w:tc>
          <w:tcPr>
            <w:tcW w:w="485" w:type="dxa"/>
          </w:tcPr>
          <w:p w:rsidR="00250F56" w:rsidRDefault="00250F56" w:rsidP="00B97D18">
            <w:pPr>
              <w:jc w:val="center"/>
            </w:pPr>
            <w:r>
              <w:t>13</w:t>
            </w:r>
          </w:p>
        </w:tc>
        <w:tc>
          <w:tcPr>
            <w:tcW w:w="483" w:type="dxa"/>
          </w:tcPr>
          <w:p w:rsidR="00250F56" w:rsidRDefault="00250F56" w:rsidP="00B97D18">
            <w:pPr>
              <w:jc w:val="center"/>
            </w:pPr>
            <w:r>
              <w:t>1</w:t>
            </w:r>
          </w:p>
        </w:tc>
        <w:tc>
          <w:tcPr>
            <w:tcW w:w="481" w:type="dxa"/>
          </w:tcPr>
          <w:p w:rsidR="00250F56" w:rsidRDefault="00250F56" w:rsidP="00B97D18">
            <w:pPr>
              <w:jc w:val="center"/>
            </w:pPr>
            <w:r>
              <w:t>5</w:t>
            </w:r>
          </w:p>
        </w:tc>
        <w:tc>
          <w:tcPr>
            <w:tcW w:w="501" w:type="dxa"/>
          </w:tcPr>
          <w:p w:rsidR="00250F56" w:rsidRDefault="00250F56" w:rsidP="00B97D18">
            <w:pPr>
              <w:jc w:val="center"/>
            </w:pPr>
          </w:p>
        </w:tc>
      </w:tr>
      <w:tr w:rsidR="00250F56" w:rsidTr="00B97D18">
        <w:tc>
          <w:tcPr>
            <w:tcW w:w="1732" w:type="dxa"/>
          </w:tcPr>
          <w:p w:rsidR="00250F56" w:rsidRDefault="00250F56" w:rsidP="00B97D18">
            <w:pPr>
              <w:jc w:val="center"/>
            </w:pPr>
            <w:r>
              <w:t>Three Year Average</w:t>
            </w:r>
          </w:p>
        </w:tc>
        <w:tc>
          <w:tcPr>
            <w:tcW w:w="1768" w:type="dxa"/>
          </w:tcPr>
          <w:p w:rsidR="00250F56" w:rsidRDefault="00250F56" w:rsidP="00B97D18">
            <w:pPr>
              <w:jc w:val="center"/>
            </w:pPr>
          </w:p>
        </w:tc>
        <w:tc>
          <w:tcPr>
            <w:tcW w:w="1329" w:type="dxa"/>
          </w:tcPr>
          <w:p w:rsidR="00250F56" w:rsidRDefault="00250F56" w:rsidP="00B97D18">
            <w:pPr>
              <w:jc w:val="center"/>
            </w:pPr>
          </w:p>
        </w:tc>
        <w:tc>
          <w:tcPr>
            <w:tcW w:w="1329" w:type="dxa"/>
          </w:tcPr>
          <w:p w:rsidR="00250F56" w:rsidRDefault="00250F56" w:rsidP="00B97D18">
            <w:pPr>
              <w:jc w:val="center"/>
            </w:pPr>
          </w:p>
        </w:tc>
        <w:tc>
          <w:tcPr>
            <w:tcW w:w="1108" w:type="dxa"/>
          </w:tcPr>
          <w:p w:rsidR="00250F56" w:rsidRDefault="00FD4B4D" w:rsidP="00B97D18">
            <w:pPr>
              <w:jc w:val="center"/>
            </w:pPr>
            <w:r>
              <w:t>92</w:t>
            </w:r>
            <w:r w:rsidR="00250F56">
              <w:t>%</w:t>
            </w:r>
          </w:p>
        </w:tc>
        <w:tc>
          <w:tcPr>
            <w:tcW w:w="485" w:type="dxa"/>
          </w:tcPr>
          <w:p w:rsidR="00250F56" w:rsidRDefault="00250F56" w:rsidP="00B97D18">
            <w:pPr>
              <w:jc w:val="center"/>
            </w:pPr>
          </w:p>
        </w:tc>
        <w:tc>
          <w:tcPr>
            <w:tcW w:w="483" w:type="dxa"/>
          </w:tcPr>
          <w:p w:rsidR="00250F56" w:rsidRDefault="00250F56" w:rsidP="00B97D18">
            <w:pPr>
              <w:jc w:val="center"/>
            </w:pPr>
          </w:p>
        </w:tc>
        <w:tc>
          <w:tcPr>
            <w:tcW w:w="481" w:type="dxa"/>
          </w:tcPr>
          <w:p w:rsidR="00250F56" w:rsidRDefault="00250F56" w:rsidP="00B97D18">
            <w:pPr>
              <w:jc w:val="center"/>
            </w:pPr>
          </w:p>
        </w:tc>
        <w:tc>
          <w:tcPr>
            <w:tcW w:w="501" w:type="dxa"/>
          </w:tcPr>
          <w:p w:rsidR="00250F56" w:rsidRDefault="00250F56" w:rsidP="00B97D18">
            <w:pPr>
              <w:jc w:val="center"/>
            </w:pPr>
          </w:p>
        </w:tc>
      </w:tr>
    </w:tbl>
    <w:p w:rsidR="00CB56DD" w:rsidRDefault="00CB56DD" w:rsidP="00CB56D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H=Hospital, RL=Reference Laboratory, SL= Specialty Lab, DO= Doctors Office</w:t>
      </w:r>
    </w:p>
    <w:p w:rsidR="00250F56" w:rsidRDefault="00250F56" w:rsidP="00250F56">
      <w:pPr>
        <w:pStyle w:val="Header"/>
        <w:rPr>
          <w:b/>
        </w:rPr>
      </w:pPr>
    </w:p>
    <w:p w:rsidR="00250F56" w:rsidRPr="00CB56DD" w:rsidRDefault="00250F56" w:rsidP="00250F56">
      <w:pPr>
        <w:pStyle w:val="Header"/>
        <w:numPr>
          <w:ilvl w:val="0"/>
          <w:numId w:val="6"/>
        </w:numPr>
        <w:rPr>
          <w:b/>
        </w:rPr>
      </w:pPr>
      <w:r>
        <w:rPr>
          <w:b/>
        </w:rPr>
        <w:t>NAACLS Benchmark for Graduate Placement Rates: Three years consecutive results of graduate placement rates demonstrating that an average of at least 70% of respondent graduates either find employment in the field or a closely related field (for those that seek employment), or continue their education within one year of graduation as calculated by the most recent three year period.</w:t>
      </w:r>
    </w:p>
    <w:p w:rsidR="00250F56" w:rsidRDefault="00250F56" w:rsidP="00250F5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CLT Program continues to place all graduates seeking employment.</w:t>
      </w:r>
    </w:p>
    <w:p w:rsidR="00CB56DD" w:rsidRPr="00CB56DD" w:rsidRDefault="00CB56DD" w:rsidP="00250F56">
      <w:pPr>
        <w:pStyle w:val="ListParagraph"/>
        <w:numPr>
          <w:ilvl w:val="0"/>
          <w:numId w:val="6"/>
        </w:numPr>
        <w:spacing w:after="0" w:line="240" w:lineRule="auto"/>
        <w:rPr>
          <w:rFonts w:ascii="Times New Roman" w:eastAsia="Times New Roman" w:hAnsi="Times New Roman" w:cs="Times New Roman"/>
          <w:sz w:val="24"/>
          <w:szCs w:val="24"/>
        </w:rPr>
      </w:pPr>
      <w:r w:rsidRPr="00CB56DD">
        <w:rPr>
          <w:rFonts w:ascii="Times New Roman" w:eastAsia="Times New Roman" w:hAnsi="Times New Roman" w:cs="Times New Roman"/>
          <w:sz w:val="24"/>
          <w:szCs w:val="24"/>
        </w:rPr>
        <w:t>Statistics updated from graduate surveys and follow-up by program coordinator. To date all graduates from this program during this reporting cycle &gt;92% have become employed in the field within 6 months of graduation. One student is seeking continuing education.</w:t>
      </w:r>
    </w:p>
    <w:p w:rsidR="00FD4B4D" w:rsidRPr="0061760D" w:rsidRDefault="00FD4B4D" w:rsidP="00250F5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number of students working in small clinics or doctors’ offices the decision was made to seek approval from the Curriculum Committee to include CLT 100 Phlebotomy to the core curriculum. This two credit hour class provides a clinical rotation in phlebotomy for all CLT students. Phlebotomy is a skill needed for employment in small hospitals, clinics and Physician offices.</w:t>
      </w:r>
    </w:p>
    <w:p w:rsidR="00250F56" w:rsidRDefault="00250F56" w:rsidP="00CB56DD">
      <w:pPr>
        <w:spacing w:after="0"/>
      </w:pPr>
    </w:p>
    <w:p w:rsidR="00CB56DD" w:rsidRPr="00CB56DD" w:rsidRDefault="00CB56DD" w:rsidP="00CB56DD">
      <w:pPr>
        <w:rPr>
          <w:b/>
        </w:rPr>
      </w:pPr>
      <w:r w:rsidRPr="00CB56DD">
        <w:rPr>
          <w:b/>
        </w:rPr>
        <w:t>V. Employer Data</w:t>
      </w:r>
    </w:p>
    <w:tbl>
      <w:tblPr>
        <w:tblStyle w:val="TableGrid"/>
        <w:tblW w:w="9648" w:type="dxa"/>
        <w:tblLook w:val="04A0" w:firstRow="1" w:lastRow="0" w:firstColumn="1" w:lastColumn="0" w:noHBand="0" w:noVBand="1"/>
      </w:tblPr>
      <w:tblGrid>
        <w:gridCol w:w="1476"/>
        <w:gridCol w:w="1692"/>
        <w:gridCol w:w="1530"/>
        <w:gridCol w:w="4950"/>
      </w:tblGrid>
      <w:tr w:rsidR="00CB56DD" w:rsidRPr="0061760D" w:rsidTr="00B97D18">
        <w:tc>
          <w:tcPr>
            <w:tcW w:w="1476" w:type="dxa"/>
          </w:tcPr>
          <w:p w:rsidR="00CB56DD" w:rsidRPr="00E07780" w:rsidRDefault="00CB56DD" w:rsidP="00B97D18">
            <w:pPr>
              <w:rPr>
                <w:b/>
              </w:rPr>
            </w:pPr>
            <w:r w:rsidRPr="00E07780">
              <w:rPr>
                <w:b/>
              </w:rPr>
              <w:t>Employer Surveys</w:t>
            </w:r>
          </w:p>
          <w:p w:rsidR="00CB56DD" w:rsidRPr="00E07780" w:rsidRDefault="00CB56DD" w:rsidP="00B97D18">
            <w:pPr>
              <w:pStyle w:val="ListParagraph"/>
              <w:ind w:left="0"/>
              <w:rPr>
                <w:b/>
              </w:rPr>
            </w:pPr>
          </w:p>
        </w:tc>
        <w:tc>
          <w:tcPr>
            <w:tcW w:w="1692" w:type="dxa"/>
          </w:tcPr>
          <w:p w:rsidR="00CB56DD" w:rsidRPr="00E07780" w:rsidRDefault="00CB56DD" w:rsidP="00B97D18">
            <w:pPr>
              <w:pStyle w:val="ListParagraph"/>
              <w:ind w:left="0"/>
              <w:rPr>
                <w:b/>
              </w:rPr>
            </w:pPr>
            <w:r w:rsidRPr="00E07780">
              <w:rPr>
                <w:b/>
              </w:rPr>
              <w:t>% responding as “Good” or better on Personal Skills</w:t>
            </w:r>
          </w:p>
        </w:tc>
        <w:tc>
          <w:tcPr>
            <w:tcW w:w="1530" w:type="dxa"/>
          </w:tcPr>
          <w:p w:rsidR="00CB56DD" w:rsidRPr="00E07780" w:rsidRDefault="00CB56DD" w:rsidP="00B97D18">
            <w:pPr>
              <w:pStyle w:val="ListParagraph"/>
              <w:ind w:left="0"/>
              <w:rPr>
                <w:b/>
              </w:rPr>
            </w:pPr>
            <w:r w:rsidRPr="00E07780">
              <w:rPr>
                <w:b/>
              </w:rPr>
              <w:t>% responding as “Good” or better on Technical Skills</w:t>
            </w:r>
          </w:p>
        </w:tc>
        <w:tc>
          <w:tcPr>
            <w:tcW w:w="4950" w:type="dxa"/>
          </w:tcPr>
          <w:p w:rsidR="00CB56DD" w:rsidRPr="00E07780" w:rsidRDefault="00CB56DD" w:rsidP="00B97D18">
            <w:pPr>
              <w:pStyle w:val="ListParagraph"/>
              <w:ind w:left="0"/>
              <w:rPr>
                <w:b/>
              </w:rPr>
            </w:pPr>
            <w:r w:rsidRPr="00E07780">
              <w:rPr>
                <w:b/>
              </w:rPr>
              <w:t>% Responses to the question Do you feel that the educational program at JSCC prepared the employee well for his/her first position at “agree” or better</w:t>
            </w:r>
          </w:p>
        </w:tc>
      </w:tr>
      <w:tr w:rsidR="00CB56DD" w:rsidRPr="0061760D" w:rsidTr="00B97D18">
        <w:tc>
          <w:tcPr>
            <w:tcW w:w="1476" w:type="dxa"/>
          </w:tcPr>
          <w:p w:rsidR="00CB56DD" w:rsidRPr="00E07780" w:rsidRDefault="00CB56DD" w:rsidP="00B97D18">
            <w:pPr>
              <w:pStyle w:val="ListParagraph"/>
              <w:ind w:left="0"/>
            </w:pPr>
            <w:r w:rsidRPr="00E07780">
              <w:t>2014-2015</w:t>
            </w:r>
          </w:p>
        </w:tc>
        <w:tc>
          <w:tcPr>
            <w:tcW w:w="1692" w:type="dxa"/>
          </w:tcPr>
          <w:p w:rsidR="00CB56DD" w:rsidRPr="00E07780" w:rsidRDefault="00CB56DD" w:rsidP="00B97D18">
            <w:pPr>
              <w:pStyle w:val="ListParagraph"/>
              <w:ind w:left="0"/>
            </w:pPr>
          </w:p>
        </w:tc>
        <w:tc>
          <w:tcPr>
            <w:tcW w:w="1530" w:type="dxa"/>
          </w:tcPr>
          <w:p w:rsidR="00CB56DD" w:rsidRPr="00E07780" w:rsidRDefault="00CB56DD" w:rsidP="00B97D18">
            <w:pPr>
              <w:pStyle w:val="ListParagraph"/>
              <w:ind w:left="0"/>
            </w:pPr>
          </w:p>
        </w:tc>
        <w:tc>
          <w:tcPr>
            <w:tcW w:w="4950" w:type="dxa"/>
          </w:tcPr>
          <w:p w:rsidR="00CB56DD" w:rsidRPr="00E07780" w:rsidRDefault="00CB56DD" w:rsidP="00B97D18">
            <w:pPr>
              <w:pStyle w:val="ListParagraph"/>
              <w:ind w:left="0"/>
            </w:pPr>
          </w:p>
        </w:tc>
      </w:tr>
      <w:tr w:rsidR="00CB56DD" w:rsidRPr="0061760D" w:rsidTr="00B97D18">
        <w:tc>
          <w:tcPr>
            <w:tcW w:w="1476" w:type="dxa"/>
          </w:tcPr>
          <w:p w:rsidR="00CB56DD" w:rsidRPr="00E07780" w:rsidRDefault="00CB56DD" w:rsidP="00B97D18">
            <w:pPr>
              <w:pStyle w:val="ListParagraph"/>
              <w:ind w:left="0"/>
            </w:pPr>
            <w:r w:rsidRPr="00E07780">
              <w:t>2013-2014</w:t>
            </w:r>
          </w:p>
        </w:tc>
        <w:tc>
          <w:tcPr>
            <w:tcW w:w="1692" w:type="dxa"/>
          </w:tcPr>
          <w:p w:rsidR="00CB56DD" w:rsidRPr="00E07780" w:rsidRDefault="00CB56DD" w:rsidP="00B97D18">
            <w:pPr>
              <w:pStyle w:val="ListParagraph"/>
              <w:ind w:left="0"/>
            </w:pPr>
            <w:r>
              <w:t>100%</w:t>
            </w:r>
          </w:p>
        </w:tc>
        <w:tc>
          <w:tcPr>
            <w:tcW w:w="1530" w:type="dxa"/>
          </w:tcPr>
          <w:p w:rsidR="00CB56DD" w:rsidRPr="00E07780" w:rsidRDefault="00CB56DD" w:rsidP="00B97D18">
            <w:pPr>
              <w:pStyle w:val="ListParagraph"/>
              <w:ind w:left="0"/>
            </w:pPr>
            <w:r>
              <w:t>100%</w:t>
            </w:r>
          </w:p>
        </w:tc>
        <w:tc>
          <w:tcPr>
            <w:tcW w:w="4950" w:type="dxa"/>
          </w:tcPr>
          <w:p w:rsidR="00CB56DD" w:rsidRPr="00E07780" w:rsidRDefault="00CB56DD" w:rsidP="00B97D18">
            <w:pPr>
              <w:pStyle w:val="ListParagraph"/>
              <w:ind w:left="0"/>
            </w:pPr>
            <w:r>
              <w:t>100%</w:t>
            </w:r>
          </w:p>
        </w:tc>
      </w:tr>
      <w:tr w:rsidR="00CB56DD" w:rsidRPr="0061760D" w:rsidTr="00B97D18">
        <w:tc>
          <w:tcPr>
            <w:tcW w:w="1476" w:type="dxa"/>
          </w:tcPr>
          <w:p w:rsidR="00CB56DD" w:rsidRPr="00E07780" w:rsidRDefault="00CB56DD" w:rsidP="00B97D18">
            <w:pPr>
              <w:pStyle w:val="ListParagraph"/>
              <w:ind w:left="0"/>
            </w:pPr>
            <w:r w:rsidRPr="00E07780">
              <w:t>2012-2013</w:t>
            </w:r>
          </w:p>
        </w:tc>
        <w:tc>
          <w:tcPr>
            <w:tcW w:w="1692" w:type="dxa"/>
          </w:tcPr>
          <w:p w:rsidR="00CB56DD" w:rsidRPr="00E07780" w:rsidRDefault="00CB56DD" w:rsidP="00B97D18">
            <w:pPr>
              <w:pStyle w:val="ListParagraph"/>
              <w:ind w:left="0"/>
            </w:pPr>
            <w:r>
              <w:t>100%</w:t>
            </w:r>
          </w:p>
        </w:tc>
        <w:tc>
          <w:tcPr>
            <w:tcW w:w="1530" w:type="dxa"/>
          </w:tcPr>
          <w:p w:rsidR="00CB56DD" w:rsidRPr="00E07780" w:rsidRDefault="00CB56DD" w:rsidP="00B97D18">
            <w:pPr>
              <w:pStyle w:val="ListParagraph"/>
              <w:ind w:left="0"/>
            </w:pPr>
            <w:r>
              <w:t>100%</w:t>
            </w:r>
          </w:p>
        </w:tc>
        <w:tc>
          <w:tcPr>
            <w:tcW w:w="4950" w:type="dxa"/>
          </w:tcPr>
          <w:p w:rsidR="00CB56DD" w:rsidRPr="00E07780" w:rsidRDefault="00CB56DD" w:rsidP="00B97D18">
            <w:pPr>
              <w:pStyle w:val="ListParagraph"/>
              <w:ind w:left="0"/>
            </w:pPr>
            <w:r>
              <w:t>100%</w:t>
            </w:r>
          </w:p>
        </w:tc>
      </w:tr>
      <w:tr w:rsidR="00CB56DD" w:rsidRPr="0061760D" w:rsidTr="00B97D18">
        <w:tc>
          <w:tcPr>
            <w:tcW w:w="1476" w:type="dxa"/>
          </w:tcPr>
          <w:p w:rsidR="00CB56DD" w:rsidRPr="00E07780" w:rsidRDefault="00CB56DD" w:rsidP="00B97D18">
            <w:pPr>
              <w:pStyle w:val="ListParagraph"/>
              <w:ind w:left="0"/>
            </w:pPr>
            <w:r w:rsidRPr="00E07780">
              <w:t>2011-2012</w:t>
            </w:r>
          </w:p>
        </w:tc>
        <w:tc>
          <w:tcPr>
            <w:tcW w:w="1692" w:type="dxa"/>
          </w:tcPr>
          <w:p w:rsidR="00CB56DD" w:rsidRPr="00E07780" w:rsidRDefault="00CB56DD" w:rsidP="00B97D18">
            <w:pPr>
              <w:pStyle w:val="ListParagraph"/>
              <w:ind w:left="0"/>
            </w:pPr>
            <w:r w:rsidRPr="00E07780">
              <w:t>100%</w:t>
            </w:r>
          </w:p>
        </w:tc>
        <w:tc>
          <w:tcPr>
            <w:tcW w:w="1530" w:type="dxa"/>
          </w:tcPr>
          <w:p w:rsidR="00CB56DD" w:rsidRPr="00E07780" w:rsidRDefault="00CB56DD" w:rsidP="00B97D18">
            <w:pPr>
              <w:pStyle w:val="ListParagraph"/>
              <w:ind w:left="0"/>
            </w:pPr>
            <w:r w:rsidRPr="00E07780">
              <w:t>100%</w:t>
            </w:r>
          </w:p>
        </w:tc>
        <w:tc>
          <w:tcPr>
            <w:tcW w:w="4950" w:type="dxa"/>
          </w:tcPr>
          <w:p w:rsidR="00CB56DD" w:rsidRPr="00E07780" w:rsidRDefault="00CB56DD" w:rsidP="00B97D18">
            <w:pPr>
              <w:pStyle w:val="ListParagraph"/>
              <w:ind w:left="0"/>
            </w:pPr>
            <w:r w:rsidRPr="00E07780">
              <w:t>100%</w:t>
            </w:r>
          </w:p>
        </w:tc>
      </w:tr>
    </w:tbl>
    <w:p w:rsidR="00CB56DD" w:rsidRPr="0061760D" w:rsidRDefault="00CB56DD" w:rsidP="00CB56DD">
      <w:pPr>
        <w:pStyle w:val="ListParagraph"/>
        <w:rPr>
          <w:highlight w:val="yellow"/>
        </w:rPr>
      </w:pPr>
    </w:p>
    <w:p w:rsidR="00CB56DD" w:rsidRPr="00E07780" w:rsidRDefault="00CB56DD" w:rsidP="00CB56DD">
      <w:pPr>
        <w:pStyle w:val="ListParagraph"/>
        <w:numPr>
          <w:ilvl w:val="0"/>
          <w:numId w:val="6"/>
        </w:numPr>
      </w:pPr>
      <w:r w:rsidRPr="00E07780">
        <w:t>Employer surveys- analysis of employer surveys continue to demonstrate positive comments. Laboratory managers within the Birmingham area continue to hire students that completed the clinical phase at their facility. Specialty labs such as Biolife and Atherotech recruit from our graduate population and are pleased with their entry level ability. Many graduates are finding employment in doctors’ offices or clinics that has pushed the need for CLT 100 (phlebotomy) addition to the curriculum. Surveys are sent each fall to compile information concerning fall and spring cohorts.</w:t>
      </w:r>
    </w:p>
    <w:p w:rsidR="00CB56DD" w:rsidRPr="00E07780" w:rsidRDefault="00CB56DD" w:rsidP="00CB56DD">
      <w:pPr>
        <w:rPr>
          <w:b/>
        </w:rPr>
      </w:pPr>
      <w:r>
        <w:rPr>
          <w:b/>
        </w:rPr>
        <w:t xml:space="preserve">VI. </w:t>
      </w:r>
      <w:r w:rsidRPr="00E07780">
        <w:rPr>
          <w:b/>
        </w:rPr>
        <w:t>Graduate Data</w:t>
      </w:r>
    </w:p>
    <w:tbl>
      <w:tblPr>
        <w:tblStyle w:val="TableGrid"/>
        <w:tblW w:w="0" w:type="auto"/>
        <w:tblLook w:val="04A0" w:firstRow="1" w:lastRow="0" w:firstColumn="1" w:lastColumn="0" w:noHBand="0" w:noVBand="1"/>
      </w:tblPr>
      <w:tblGrid>
        <w:gridCol w:w="1806"/>
        <w:gridCol w:w="3252"/>
        <w:gridCol w:w="3510"/>
      </w:tblGrid>
      <w:tr w:rsidR="00CB56DD" w:rsidRPr="00E07780" w:rsidTr="00B97D18">
        <w:tc>
          <w:tcPr>
            <w:tcW w:w="1806" w:type="dxa"/>
          </w:tcPr>
          <w:p w:rsidR="00CB56DD" w:rsidRPr="00E07780" w:rsidRDefault="00CB56DD" w:rsidP="00B97D18">
            <w:pPr>
              <w:pStyle w:val="ListParagraph"/>
              <w:ind w:left="0"/>
              <w:rPr>
                <w:b/>
              </w:rPr>
            </w:pPr>
            <w:r w:rsidRPr="00E07780">
              <w:rPr>
                <w:b/>
              </w:rPr>
              <w:t>Graduate Surveys</w:t>
            </w:r>
          </w:p>
        </w:tc>
        <w:tc>
          <w:tcPr>
            <w:tcW w:w="3252" w:type="dxa"/>
          </w:tcPr>
          <w:p w:rsidR="00CB56DD" w:rsidRPr="00E07780" w:rsidRDefault="00CB56DD" w:rsidP="00B97D18">
            <w:pPr>
              <w:pStyle w:val="ListParagraph"/>
              <w:ind w:left="0"/>
              <w:rPr>
                <w:b/>
              </w:rPr>
            </w:pPr>
            <w:r w:rsidRPr="00E07780">
              <w:rPr>
                <w:b/>
              </w:rPr>
              <w:t>% responding to the question How satisfied are you with your education at JSCC at “satisfied” or better</w:t>
            </w:r>
          </w:p>
        </w:tc>
        <w:tc>
          <w:tcPr>
            <w:tcW w:w="3510" w:type="dxa"/>
          </w:tcPr>
          <w:p w:rsidR="00CB56DD" w:rsidRPr="00E07780" w:rsidRDefault="00CB56DD" w:rsidP="00B97D18">
            <w:pPr>
              <w:pStyle w:val="ListParagraph"/>
              <w:ind w:left="0"/>
              <w:rPr>
                <w:b/>
              </w:rPr>
            </w:pPr>
            <w:r w:rsidRPr="00E07780">
              <w:rPr>
                <w:b/>
              </w:rPr>
              <w:t>% responding to the question How satisfied are you with your career choice at “satisfied” or better</w:t>
            </w:r>
          </w:p>
        </w:tc>
      </w:tr>
      <w:tr w:rsidR="00CB56DD" w:rsidRPr="00E07780" w:rsidTr="00B97D18">
        <w:tc>
          <w:tcPr>
            <w:tcW w:w="1806" w:type="dxa"/>
          </w:tcPr>
          <w:p w:rsidR="00CB56DD" w:rsidRPr="00E07780" w:rsidRDefault="00CB56DD" w:rsidP="00B97D18">
            <w:pPr>
              <w:pStyle w:val="ListParagraph"/>
              <w:ind w:left="0"/>
            </w:pPr>
            <w:r w:rsidRPr="00E07780">
              <w:t>2014-2015</w:t>
            </w:r>
          </w:p>
        </w:tc>
        <w:tc>
          <w:tcPr>
            <w:tcW w:w="3252" w:type="dxa"/>
          </w:tcPr>
          <w:p w:rsidR="00CB56DD" w:rsidRPr="00E07780" w:rsidRDefault="00CB56DD" w:rsidP="00B97D18">
            <w:pPr>
              <w:pStyle w:val="ListParagraph"/>
              <w:ind w:left="0"/>
            </w:pPr>
          </w:p>
        </w:tc>
        <w:tc>
          <w:tcPr>
            <w:tcW w:w="3510" w:type="dxa"/>
          </w:tcPr>
          <w:p w:rsidR="00CB56DD" w:rsidRPr="00E07780" w:rsidRDefault="00CB56DD" w:rsidP="00B97D18">
            <w:pPr>
              <w:pStyle w:val="ListParagraph"/>
              <w:ind w:left="0"/>
            </w:pPr>
          </w:p>
        </w:tc>
      </w:tr>
      <w:tr w:rsidR="00CB56DD" w:rsidRPr="00E07780" w:rsidTr="00B97D18">
        <w:tc>
          <w:tcPr>
            <w:tcW w:w="1806" w:type="dxa"/>
          </w:tcPr>
          <w:p w:rsidR="00CB56DD" w:rsidRPr="00E07780" w:rsidRDefault="00CB56DD" w:rsidP="00B97D18">
            <w:pPr>
              <w:pStyle w:val="ListParagraph"/>
              <w:ind w:left="0"/>
            </w:pPr>
            <w:r w:rsidRPr="00E07780">
              <w:t>2013-2014</w:t>
            </w:r>
          </w:p>
        </w:tc>
        <w:tc>
          <w:tcPr>
            <w:tcW w:w="3252" w:type="dxa"/>
          </w:tcPr>
          <w:p w:rsidR="00CB56DD" w:rsidRPr="00E07780" w:rsidRDefault="00422F10" w:rsidP="00B97D18">
            <w:pPr>
              <w:pStyle w:val="ListParagraph"/>
              <w:ind w:left="0"/>
            </w:pPr>
            <w:r>
              <w:t>100%</w:t>
            </w:r>
          </w:p>
        </w:tc>
        <w:tc>
          <w:tcPr>
            <w:tcW w:w="3510" w:type="dxa"/>
          </w:tcPr>
          <w:p w:rsidR="00CB56DD" w:rsidRPr="00E07780" w:rsidRDefault="00422F10" w:rsidP="00B97D18">
            <w:pPr>
              <w:pStyle w:val="ListParagraph"/>
              <w:ind w:left="0"/>
            </w:pPr>
            <w:r>
              <w:t>100%</w:t>
            </w:r>
          </w:p>
        </w:tc>
      </w:tr>
      <w:tr w:rsidR="00CB56DD" w:rsidRPr="00E07780" w:rsidTr="00B97D18">
        <w:tc>
          <w:tcPr>
            <w:tcW w:w="1806" w:type="dxa"/>
          </w:tcPr>
          <w:p w:rsidR="00CB56DD" w:rsidRPr="00E07780" w:rsidRDefault="00CB56DD" w:rsidP="00B97D18">
            <w:pPr>
              <w:pStyle w:val="ListParagraph"/>
              <w:ind w:left="0"/>
            </w:pPr>
            <w:r w:rsidRPr="00E07780">
              <w:t>2012-2013</w:t>
            </w:r>
          </w:p>
        </w:tc>
        <w:tc>
          <w:tcPr>
            <w:tcW w:w="3252" w:type="dxa"/>
          </w:tcPr>
          <w:p w:rsidR="00CB56DD" w:rsidRPr="00E07780" w:rsidRDefault="00CB56DD" w:rsidP="00B97D18">
            <w:pPr>
              <w:pStyle w:val="ListParagraph"/>
              <w:ind w:left="0"/>
            </w:pPr>
            <w:r>
              <w:t xml:space="preserve">100% </w:t>
            </w:r>
          </w:p>
        </w:tc>
        <w:tc>
          <w:tcPr>
            <w:tcW w:w="3510" w:type="dxa"/>
          </w:tcPr>
          <w:p w:rsidR="00CB56DD" w:rsidRPr="00E07780" w:rsidRDefault="00CB56DD" w:rsidP="00B97D18">
            <w:pPr>
              <w:pStyle w:val="ListParagraph"/>
              <w:ind w:left="0"/>
            </w:pPr>
            <w:r>
              <w:t xml:space="preserve">100% </w:t>
            </w:r>
          </w:p>
        </w:tc>
      </w:tr>
      <w:tr w:rsidR="00CB56DD" w:rsidRPr="0061760D" w:rsidTr="00B97D18">
        <w:tc>
          <w:tcPr>
            <w:tcW w:w="1806" w:type="dxa"/>
          </w:tcPr>
          <w:p w:rsidR="00CB56DD" w:rsidRPr="00E07780" w:rsidRDefault="00CB56DD" w:rsidP="00B97D18">
            <w:pPr>
              <w:pStyle w:val="ListParagraph"/>
              <w:ind w:left="0"/>
            </w:pPr>
            <w:r w:rsidRPr="00E07780">
              <w:t>2011-2012</w:t>
            </w:r>
          </w:p>
        </w:tc>
        <w:tc>
          <w:tcPr>
            <w:tcW w:w="3252" w:type="dxa"/>
          </w:tcPr>
          <w:p w:rsidR="00CB56DD" w:rsidRPr="00E07780" w:rsidRDefault="00CB56DD" w:rsidP="00B97D18">
            <w:pPr>
              <w:pStyle w:val="ListParagraph"/>
              <w:ind w:left="0"/>
            </w:pPr>
            <w:r w:rsidRPr="00E07780">
              <w:t>100%</w:t>
            </w:r>
          </w:p>
        </w:tc>
        <w:tc>
          <w:tcPr>
            <w:tcW w:w="3510" w:type="dxa"/>
          </w:tcPr>
          <w:p w:rsidR="00CB56DD" w:rsidRPr="00E07780" w:rsidRDefault="00CB56DD" w:rsidP="00B97D18">
            <w:pPr>
              <w:pStyle w:val="ListParagraph"/>
              <w:ind w:left="0"/>
            </w:pPr>
            <w:r w:rsidRPr="00E07780">
              <w:t>100%</w:t>
            </w:r>
          </w:p>
        </w:tc>
      </w:tr>
    </w:tbl>
    <w:p w:rsidR="00422F10" w:rsidRPr="00422F10" w:rsidRDefault="00422F10" w:rsidP="00420086">
      <w:pPr>
        <w:pStyle w:val="ListParagraph"/>
        <w:numPr>
          <w:ilvl w:val="0"/>
          <w:numId w:val="6"/>
        </w:numPr>
      </w:pPr>
      <w:r w:rsidRPr="00422F10">
        <w:t>Student graduate surveys continue to be positive. Suggestions from previous surveys have resulted in changes in the semester sequence for the CLT coursework.  The Blackboard course management system is being utilized in all CLT courses so that future online offerings can be transitioned easily.</w:t>
      </w:r>
      <w:r>
        <w:t xml:space="preserve"> </w:t>
      </w: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r w:rsidR="00AF43FA">
        <w:rPr>
          <w:b/>
        </w:rPr>
        <w:t xml:space="preserve"> </w:t>
      </w:r>
    </w:p>
    <w:p w:rsidR="00ED281B" w:rsidRPr="00ED281B" w:rsidRDefault="00ED281B" w:rsidP="00ED281B">
      <w:pPr>
        <w:pStyle w:val="ListParagraph"/>
        <w:ind w:left="1080"/>
      </w:pPr>
      <w:r w:rsidRPr="00AF43FA">
        <w:t xml:space="preserve">The </w:t>
      </w:r>
      <w:r w:rsidR="00422F10" w:rsidRPr="00AF43FA">
        <w:t>Technology in the CLT student labs was purchased in 2013 to include the</w:t>
      </w:r>
      <w:r w:rsidRPr="00AF43FA">
        <w:t xml:space="preserve"> purchase </w:t>
      </w:r>
      <w:r w:rsidR="00422F10" w:rsidRPr="00AF43FA">
        <w:t xml:space="preserve">of </w:t>
      </w:r>
      <w:r w:rsidRPr="00AF43FA">
        <w:t xml:space="preserve">two overhead projectors and student computers for the CLT student laboratories in GLB 228 and GLB 231. </w:t>
      </w:r>
      <w:r w:rsidR="00422F10" w:rsidRPr="00AF43FA">
        <w:t xml:space="preserve">Both of the full time faculty has been able to update office desktops within the last two years. Both faculty all-in-one printers are no longer functioning. </w:t>
      </w:r>
      <w:r w:rsidRPr="00AF43FA">
        <w:t xml:space="preserve"> </w:t>
      </w:r>
      <w:r w:rsidR="00422F10" w:rsidRPr="00AF43FA">
        <w:t xml:space="preserve">Program administration and clinical responsibilities require the need for scanning document </w:t>
      </w:r>
      <w:r w:rsidR="00110434" w:rsidRPr="00AF43FA">
        <w:t xml:space="preserve">to PDF format. Request will be made in the budget to replace these printers. </w:t>
      </w:r>
      <w:r w:rsidRPr="00AF43FA">
        <w:t xml:space="preserve">Currently we have two mobile laptops and projectors for classroom instruction. </w:t>
      </w:r>
      <w:r w:rsidR="00110434" w:rsidRPr="00AF43FA">
        <w:t xml:space="preserve">These are used when class enrollment is greater than 12 and class lecture must be assigned to a room on the first floor in the George Layton Building. </w:t>
      </w:r>
      <w:r w:rsidRPr="00AF43FA">
        <w:t xml:space="preserve">These </w:t>
      </w:r>
      <w:r w:rsidR="00110434" w:rsidRPr="00AF43FA">
        <w:t xml:space="preserve">are about 5-6 years old and we have been advised by IT to replace the laptops. Request for replacement </w:t>
      </w:r>
      <w:r w:rsidRPr="00AF43FA">
        <w:t xml:space="preserve">will be </w:t>
      </w:r>
      <w:r w:rsidR="00110434" w:rsidRPr="00AF43FA">
        <w:t xml:space="preserve">included </w:t>
      </w:r>
      <w:r w:rsidRPr="00AF43FA">
        <w:t>2015</w:t>
      </w:r>
      <w:r w:rsidR="00110434" w:rsidRPr="00AF43FA">
        <w:t>-2016</w:t>
      </w:r>
      <w:r w:rsidRPr="00AF43FA">
        <w:t xml:space="preserve"> budget.</w:t>
      </w:r>
      <w:r>
        <w:t xml:space="preserve"> </w:t>
      </w:r>
    </w:p>
    <w:p w:rsidR="00481035" w:rsidRDefault="00481035" w:rsidP="00481035">
      <w:pPr>
        <w:pStyle w:val="ListParagraph"/>
        <w:numPr>
          <w:ilvl w:val="0"/>
          <w:numId w:val="3"/>
        </w:numPr>
        <w:rPr>
          <w:b/>
        </w:rPr>
      </w:pPr>
      <w:r>
        <w:rPr>
          <w:b/>
        </w:rPr>
        <w:t>Budget</w:t>
      </w:r>
    </w:p>
    <w:p w:rsidR="00B97D18" w:rsidRPr="00B97D18" w:rsidRDefault="00B97D18" w:rsidP="00B97D18">
      <w:pPr>
        <w:pStyle w:val="ListParagraph"/>
        <w:ind w:left="1080"/>
      </w:pPr>
      <w:r w:rsidRPr="00B97D18">
        <w:t>Previous budgeted resources for expendable supplies were approximately $20,000.00 and should remain the same for the upcoming year. Other resources that are requested include our accreditation fees to NAACLS, Medtraining yearly subscription and ASCP BOC statistics report all requested in the 2015-2016 budget.</w:t>
      </w:r>
    </w:p>
    <w:p w:rsidR="00481035" w:rsidRDefault="00481035" w:rsidP="00481035">
      <w:pPr>
        <w:pStyle w:val="ListParagraph"/>
        <w:numPr>
          <w:ilvl w:val="0"/>
          <w:numId w:val="3"/>
        </w:numPr>
        <w:rPr>
          <w:b/>
        </w:rPr>
      </w:pPr>
      <w:r>
        <w:rPr>
          <w:b/>
        </w:rPr>
        <w:t>Staffing</w:t>
      </w:r>
    </w:p>
    <w:p w:rsidR="00B97D18" w:rsidRPr="00B97D18" w:rsidRDefault="00B97D18" w:rsidP="00B97D18">
      <w:pPr>
        <w:pStyle w:val="ListParagraph"/>
        <w:ind w:left="1080"/>
      </w:pPr>
      <w:r w:rsidRPr="00B97D18">
        <w:t>Staffing at this time is sufficient. The program employs two full-time and 2 adjunct instructors as needed.  Currently, part-time/full-time ratios are very good. Two full-time office managers housed at the Jefferson Campus are available to assist the program as needed. These office managers support this program as well as other programs housed in the Center for Professional, Career and Technical Education. Support staff is adequate for our program needs at this time.</w:t>
      </w:r>
    </w:p>
    <w:p w:rsidR="00CB56DD" w:rsidRPr="00B97D18" w:rsidRDefault="00CB56DD" w:rsidP="00CB56DD">
      <w:pPr>
        <w:pStyle w:val="ListParagraph"/>
        <w:ind w:left="1080"/>
      </w:pPr>
      <w:r w:rsidRPr="00B97D18">
        <w:t>Program Load – 85% of the course load is taught by full time faculty. The typical 5 credit hour course, due to the lab component, requires 7 contact hours from the instructor. In addition, our lab space will only accommodate a class capacity no larger than 12 students and therefore requires additional lab sections for CLT 111, 121, 131, 141, 142, 151, and 191. Two adjunct instructors help with the extra lab sections. With the plans to add CLT 100 to the CLT core curriculum and by offering CLT</w:t>
      </w:r>
      <w:r w:rsidR="00B97D18">
        <w:t xml:space="preserve"> </w:t>
      </w:r>
      <w:r w:rsidRPr="00B97D18">
        <w:t>100 and 131 each semester the percent of course load by full time faculty may decrease slightly as we use more adjunct instructors to help with the increase class load.</w:t>
      </w:r>
    </w:p>
    <w:p w:rsidR="00481035" w:rsidRDefault="00481035" w:rsidP="00481035">
      <w:pPr>
        <w:pStyle w:val="ListParagraph"/>
        <w:numPr>
          <w:ilvl w:val="0"/>
          <w:numId w:val="3"/>
        </w:numPr>
        <w:rPr>
          <w:b/>
        </w:rPr>
      </w:pPr>
      <w:r>
        <w:rPr>
          <w:b/>
        </w:rPr>
        <w:t>Resources</w:t>
      </w:r>
    </w:p>
    <w:p w:rsidR="00B97D18" w:rsidRDefault="00B97D18" w:rsidP="00B97D18">
      <w:pPr>
        <w:pStyle w:val="ListParagraph"/>
        <w:ind w:left="1080"/>
      </w:pPr>
      <w:r w:rsidRPr="00B97D18">
        <w:t>The program’s resources are currently sufficient to meet program needs. The program currently has 19 clinical site agreements with area clinics to accommodate students’ clinical needs</w:t>
      </w:r>
      <w:r>
        <w:t>.</w:t>
      </w:r>
    </w:p>
    <w:p w:rsidR="00B97D18" w:rsidRDefault="00B97D18" w:rsidP="00B97D18">
      <w:pPr>
        <w:pStyle w:val="ListParagraph"/>
        <w:rPr>
          <w:b/>
        </w:rPr>
      </w:pPr>
      <w:r>
        <w:rPr>
          <w:b/>
        </w:rPr>
        <w:t xml:space="preserve">5. </w:t>
      </w:r>
      <w:r w:rsidR="00481035">
        <w:rPr>
          <w:b/>
        </w:rPr>
        <w:t>Enrollment</w:t>
      </w:r>
    </w:p>
    <w:p w:rsidR="00B97D18" w:rsidRDefault="00B97D18" w:rsidP="00ED281B">
      <w:pPr>
        <w:pStyle w:val="ListParagraph"/>
        <w:ind w:left="1080"/>
        <w:rPr>
          <w:b/>
        </w:rPr>
      </w:pPr>
      <w:r w:rsidRPr="00B97D18">
        <w:t xml:space="preserve">Enrollment remains stable with the ability to admit up to 20 students twice a year. </w:t>
      </w:r>
      <w:r>
        <w:t xml:space="preserve">With attrition first and second semester we can usually accommodate 12-14 students in clinical rotations. </w:t>
      </w:r>
      <w:r w:rsidRPr="00B97D18">
        <w:t>Clinical placement continues to be a problem</w:t>
      </w:r>
      <w:r>
        <w:t xml:space="preserve"> for enrollment increases</w:t>
      </w:r>
      <w:r w:rsidRPr="00B97D18">
        <w:t>. We did obtain two large clinics that are able to provide a chemistry and hematology rotation. Placement of stud</w:t>
      </w:r>
      <w:r>
        <w:t>ents in microbiology and blood b</w:t>
      </w:r>
      <w:r w:rsidRPr="00B97D18">
        <w:t>ank continue to be an issue</w:t>
      </w:r>
      <w:r>
        <w:t xml:space="preserve"> and hinder program growth</w:t>
      </w:r>
      <w:r w:rsidRPr="00B97D18">
        <w:t>.</w:t>
      </w:r>
    </w:p>
    <w:p w:rsidR="00ED281B" w:rsidRDefault="00ED281B" w:rsidP="00ED281B">
      <w:pPr>
        <w:pStyle w:val="ListParagraph"/>
        <w:rPr>
          <w:b/>
        </w:rPr>
      </w:pPr>
      <w:r>
        <w:rPr>
          <w:b/>
        </w:rPr>
        <w:t xml:space="preserve">6. </w:t>
      </w:r>
      <w:r w:rsidR="00481035">
        <w:rPr>
          <w:b/>
        </w:rPr>
        <w:t>Facilities</w:t>
      </w:r>
    </w:p>
    <w:p w:rsidR="00ED281B" w:rsidRDefault="00ED281B" w:rsidP="00ED281B">
      <w:pPr>
        <w:pStyle w:val="ListParagraph"/>
      </w:pPr>
      <w:r>
        <w:rPr>
          <w:b/>
        </w:rPr>
        <w:t xml:space="preserve">     </w:t>
      </w:r>
      <w:r>
        <w:t xml:space="preserve"> The CLT program completed the laboratory renovations in rooms 228 and 231 in the spring   </w:t>
      </w:r>
    </w:p>
    <w:p w:rsidR="00ED281B" w:rsidRDefault="00ED281B" w:rsidP="00ED281B">
      <w:pPr>
        <w:pStyle w:val="ListParagraph"/>
      </w:pPr>
      <w:r>
        <w:t xml:space="preserve">      </w:t>
      </w:r>
      <w:r w:rsidR="005D2495">
        <w:t xml:space="preserve">2013. </w:t>
      </w:r>
      <w:r>
        <w:t xml:space="preserve">The Biomedical Technology program was relocated on the ground floor of George  </w:t>
      </w:r>
    </w:p>
    <w:p w:rsidR="00ED281B" w:rsidRDefault="00ED281B" w:rsidP="00ED281B">
      <w:pPr>
        <w:pStyle w:val="ListParagraph"/>
      </w:pPr>
      <w:r>
        <w:t xml:space="preserve">      Layton and in doing so the CLT program was able to acquire room 233 for our phlebotomy   </w:t>
      </w:r>
    </w:p>
    <w:p w:rsidR="00ED281B" w:rsidRDefault="00ED281B" w:rsidP="00ED281B">
      <w:pPr>
        <w:pStyle w:val="ListParagraph"/>
      </w:pPr>
      <w:r>
        <w:t xml:space="preserve">      program and is also utilized by the CLT </w:t>
      </w:r>
      <w:r w:rsidR="005D2495">
        <w:t>students as</w:t>
      </w:r>
      <w:r>
        <w:t xml:space="preserve"> a spillover classroom when the labs are </w:t>
      </w:r>
    </w:p>
    <w:p w:rsidR="00ED281B" w:rsidRDefault="00ED281B" w:rsidP="00ED281B">
      <w:pPr>
        <w:pStyle w:val="ListParagraph"/>
      </w:pPr>
      <w:r>
        <w:t xml:space="preserve">      occupied. Both full-time faculty have office space near the CLT labs. The part-time faculty    </w:t>
      </w:r>
    </w:p>
    <w:p w:rsidR="00ED281B" w:rsidRDefault="00ED281B" w:rsidP="00ED281B">
      <w:pPr>
        <w:pStyle w:val="ListParagraph"/>
      </w:pPr>
      <w:r>
        <w:t xml:space="preserve">      share an office that is connected to another office that is used for document storage. The  </w:t>
      </w:r>
    </w:p>
    <w:p w:rsidR="00ED281B" w:rsidRPr="00ED281B" w:rsidRDefault="00ED281B" w:rsidP="00ED281B">
      <w:pPr>
        <w:pStyle w:val="ListParagraph"/>
        <w:rPr>
          <w:b/>
        </w:rPr>
      </w:pPr>
      <w:r>
        <w:t xml:space="preserve">      </w:t>
      </w:r>
      <w:r w:rsidR="005D2495">
        <w:t>students are</w:t>
      </w:r>
      <w:r>
        <w:t xml:space="preserve"> blessed with their own </w:t>
      </w:r>
      <w:r w:rsidR="005D2495">
        <w:t>break room</w:t>
      </w:r>
      <w:r>
        <w:t xml:space="preserve"> with kitchen facilities and lounge.</w:t>
      </w:r>
    </w:p>
    <w:p w:rsidR="00ED281B" w:rsidRDefault="00ED281B" w:rsidP="00ED281B">
      <w:pPr>
        <w:pStyle w:val="ListParagraph"/>
        <w:rPr>
          <w:b/>
        </w:rPr>
      </w:pPr>
    </w:p>
    <w:p w:rsidR="00481035" w:rsidRDefault="00ED281B" w:rsidP="00ED281B">
      <w:pPr>
        <w:pStyle w:val="ListParagraph"/>
        <w:rPr>
          <w:b/>
        </w:rPr>
      </w:pPr>
      <w:r>
        <w:rPr>
          <w:b/>
        </w:rPr>
        <w:t xml:space="preserve">7. </w:t>
      </w:r>
      <w:r w:rsidR="00481035">
        <w:rPr>
          <w:b/>
        </w:rPr>
        <w:t>Equipment</w:t>
      </w:r>
      <w:r w:rsidR="00636CFD">
        <w:rPr>
          <w:b/>
        </w:rPr>
        <w:t xml:space="preserve"> </w:t>
      </w:r>
    </w:p>
    <w:p w:rsidR="00ED281B" w:rsidRPr="009916BB" w:rsidRDefault="00ED281B" w:rsidP="00ED281B">
      <w:pPr>
        <w:pStyle w:val="ListParagraph"/>
        <w:ind w:left="1080"/>
      </w:pPr>
      <w:r w:rsidRPr="009916BB">
        <w:t xml:space="preserve">The </w:t>
      </w:r>
      <w:r w:rsidR="00AF43FA" w:rsidRPr="009916BB">
        <w:t>program received funding from</w:t>
      </w:r>
      <w:r w:rsidR="00A168AB">
        <w:t xml:space="preserve"> Perkins</w:t>
      </w:r>
      <w:r w:rsidR="00AF43FA" w:rsidRPr="009916BB">
        <w:t xml:space="preserve"> </w:t>
      </w:r>
      <w:r w:rsidR="00A168AB">
        <w:t>(</w:t>
      </w:r>
      <w:r w:rsidR="00AF43FA" w:rsidRPr="009916BB">
        <w:t>vocational education</w:t>
      </w:r>
      <w:r w:rsidR="00A168AB">
        <w:t>)</w:t>
      </w:r>
      <w:r w:rsidR="00AF43FA" w:rsidRPr="009916BB">
        <w:t xml:space="preserve"> the last two years that was used to purchase 12 new microscopes and an automated cell counter. This has allowed us to provide microscopes for each student in both classroom laboratories. The s</w:t>
      </w:r>
      <w:r w:rsidRPr="009916BB">
        <w:t xml:space="preserve">even chemistry analyzers </w:t>
      </w:r>
      <w:r w:rsidR="00AF43FA" w:rsidRPr="009916BB">
        <w:t>t</w:t>
      </w:r>
      <w:r w:rsidRPr="009916BB">
        <w:t xml:space="preserve">he RX Monza </w:t>
      </w:r>
      <w:r w:rsidR="00AF43FA" w:rsidRPr="009916BB">
        <w:t>are now fully operational for chemistry labs and we now plan on purchasing the software to convert them to coagulation instruments for use in the Hematology course.</w:t>
      </w:r>
      <w:r w:rsidR="009916BB" w:rsidRPr="009916BB">
        <w:t xml:space="preserve"> Several last pieces of instrumentation that includes a serofuge, urinalysis strip readers and microhematocrit centrifuge will complete the worksta</w:t>
      </w:r>
      <w:r w:rsidR="009916BB">
        <w:t>tions for each student in the</w:t>
      </w:r>
      <w:r w:rsidR="009916BB" w:rsidRPr="009916BB">
        <w:t xml:space="preserve"> laboratories. These have been requested with </w:t>
      </w:r>
      <w:r w:rsidR="00A168AB">
        <w:t xml:space="preserve"> Perkins (</w:t>
      </w:r>
      <w:r w:rsidR="009916BB" w:rsidRPr="009916BB">
        <w:t>Vocational Education</w:t>
      </w:r>
      <w:r w:rsidR="00A168AB">
        <w:t>)</w:t>
      </w:r>
      <w:r w:rsidR="009916BB" w:rsidRPr="009916BB">
        <w:t xml:space="preserve"> funding 2015-16.</w:t>
      </w:r>
    </w:p>
    <w:p w:rsidR="00ED281B" w:rsidRPr="00ED281B" w:rsidRDefault="00ED281B" w:rsidP="00ED281B">
      <w:pPr>
        <w:pStyle w:val="ListParagraph"/>
      </w:pPr>
    </w:p>
    <w:p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225B09" w:rsidRPr="00086D68" w:rsidRDefault="00086D68" w:rsidP="00C664F5">
      <w:pPr>
        <w:rPr>
          <w:rFonts w:ascii="Calibri" w:hAnsi="Calibri"/>
        </w:rPr>
      </w:pPr>
      <w:r>
        <w:rPr>
          <w:rFonts w:ascii="Calibri" w:hAnsi="Calibri"/>
        </w:rPr>
        <w:t>The Alabama Community College System has a new Board of Trustees that was appointed by the Governor and confirmed by the senate on May 27, 2015. New policies may be developed that will reflect changes within the CLT program</w:t>
      </w:r>
    </w:p>
    <w:p w:rsidR="00ED281B" w:rsidRPr="009916BB" w:rsidRDefault="00ED281B" w:rsidP="00ED281B">
      <w:r w:rsidRPr="009916BB">
        <w:t>The CLT Program is awarded accreditation through the National Accrediting Agency for Clinical Laboratory Science (NAACLS).  This agency has required standards that must be followed.</w:t>
      </w:r>
    </w:p>
    <w:p w:rsidR="00ED281B" w:rsidRPr="009916BB" w:rsidRDefault="009916BB" w:rsidP="00ED281B">
      <w:pPr>
        <w:autoSpaceDE w:val="0"/>
        <w:autoSpaceDN w:val="0"/>
        <w:adjustRightInd w:val="0"/>
        <w:spacing w:after="0" w:line="240" w:lineRule="auto"/>
        <w:rPr>
          <w:rFonts w:cs="Arial"/>
          <w:color w:val="000000"/>
        </w:rPr>
      </w:pPr>
      <w:r w:rsidRPr="009916BB">
        <w:rPr>
          <w:rFonts w:cs="Arial"/>
          <w:b/>
          <w:bCs/>
          <w:color w:val="000000"/>
        </w:rPr>
        <w:t>Standard VII</w:t>
      </w:r>
      <w:r w:rsidR="00ED281B" w:rsidRPr="009916BB">
        <w:rPr>
          <w:rFonts w:cs="Arial"/>
          <w:b/>
          <w:bCs/>
          <w:color w:val="000000"/>
        </w:rPr>
        <w:t>.</w:t>
      </w:r>
      <w:r w:rsidRPr="009916BB">
        <w:rPr>
          <w:rFonts w:cs="Arial"/>
          <w:b/>
          <w:bCs/>
          <w:color w:val="000000"/>
        </w:rPr>
        <w:t xml:space="preserve"> </w:t>
      </w:r>
      <w:r w:rsidR="00ED281B" w:rsidRPr="009916BB">
        <w:rPr>
          <w:rFonts w:cs="Arial"/>
          <w:b/>
          <w:bCs/>
          <w:color w:val="000000"/>
        </w:rPr>
        <w:t xml:space="preserve">Faculty </w:t>
      </w:r>
    </w:p>
    <w:p w:rsidR="00ED281B" w:rsidRPr="009916BB" w:rsidRDefault="00ED281B" w:rsidP="00ED281B">
      <w:pPr>
        <w:rPr>
          <w:rFonts w:cs="Arial"/>
          <w:color w:val="000000"/>
        </w:rPr>
      </w:pPr>
      <w:r w:rsidRPr="009916BB">
        <w:rPr>
          <w:rFonts w:cs="Arial"/>
          <w:color w:val="000000"/>
        </w:rPr>
        <w:t>The program must have qualified faculty (e.g., medical laboratory scientist/clinical laboratory scientists/medical technologists, clinical laboratory technicians/medical laboratory technicians, administrators, managers and physicians).</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bCs/>
          <w:color w:val="000000"/>
        </w:rPr>
        <w:t xml:space="preserve">Standard </w:t>
      </w:r>
      <w:r w:rsidR="009916BB" w:rsidRPr="009916BB">
        <w:rPr>
          <w:rFonts w:cs="Arial"/>
          <w:b/>
          <w:bCs/>
          <w:color w:val="000000"/>
        </w:rPr>
        <w:t>III.</w:t>
      </w:r>
      <w:r w:rsidRPr="009916BB">
        <w:rPr>
          <w:rFonts w:cs="Arial"/>
          <w:b/>
          <w:bCs/>
          <w:color w:val="000000"/>
        </w:rPr>
        <w:t xml:space="preserve"> Physical Resources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A</w:t>
      </w:r>
      <w:r w:rsidRPr="009916BB">
        <w:rPr>
          <w:rFonts w:cs="Arial"/>
          <w:color w:val="000000"/>
        </w:rPr>
        <w:t xml:space="preserve">. Facilities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Classrooms, laboratories, administrative offices and other facilities must be adequate, equipped for safety, and must be in compliance with pertinent governmental laws.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B</w:t>
      </w:r>
      <w:r w:rsidRPr="009916BB">
        <w:rPr>
          <w:rFonts w:cs="Arial"/>
          <w:color w:val="000000"/>
        </w:rPr>
        <w:t xml:space="preserve">. Equipment and Supplies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and experience with modern equipment and supplies.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C</w:t>
      </w:r>
      <w:r w:rsidRPr="009916BB">
        <w:rPr>
          <w:rFonts w:cs="Arial"/>
          <w:color w:val="000000"/>
        </w:rPr>
        <w:t xml:space="preserve">. Information Resources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information resources containing current editions of books, periodicals and other reference materials in contemporary formats related to all content areas of the curriculum.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D</w:t>
      </w:r>
      <w:r w:rsidRPr="009916BB">
        <w:rPr>
          <w:rFonts w:cs="Arial"/>
          <w:color w:val="000000"/>
        </w:rPr>
        <w:t>. Instructional Resources</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Adequate instructional resources must be available to facilitate each student’s attainment of entry level competencies.</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 Computer Technology</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Each student must have access to and experience with contemporary computer technology.</w:t>
      </w:r>
    </w:p>
    <w:p w:rsidR="00ED281B" w:rsidRPr="009916BB" w:rsidRDefault="00ED281B" w:rsidP="00ED281B">
      <w:pPr>
        <w:autoSpaceDE w:val="0"/>
        <w:autoSpaceDN w:val="0"/>
        <w:adjustRightInd w:val="0"/>
        <w:spacing w:after="0" w:line="240" w:lineRule="auto"/>
        <w:rPr>
          <w:rFonts w:cs="Arial"/>
          <w:color w:val="000000"/>
        </w:rPr>
      </w:pP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The CLT Advisory Committee also makes recommendations based on industry standards and meets once a year.</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No Postsecondary changes were made this year.</w:t>
      </w:r>
    </w:p>
    <w:p w:rsidR="009916BB" w:rsidRDefault="009916BB" w:rsidP="00481035">
      <w:pPr>
        <w:rPr>
          <w:b/>
        </w:rPr>
      </w:pPr>
    </w:p>
    <w:p w:rsidR="00481035" w:rsidRDefault="00481035" w:rsidP="00481035">
      <w:pPr>
        <w:rPr>
          <w:b/>
        </w:rPr>
      </w:pPr>
      <w:r>
        <w:rPr>
          <w:b/>
        </w:rPr>
        <w:t>20</w:t>
      </w:r>
      <w:r w:rsidR="00BB4C08">
        <w:rPr>
          <w:b/>
        </w:rPr>
        <w:t>1</w:t>
      </w:r>
      <w:r w:rsidR="00755D86">
        <w:rPr>
          <w:b/>
        </w:rPr>
        <w:t>3</w:t>
      </w:r>
      <w:r>
        <w:rPr>
          <w:b/>
        </w:rPr>
        <w:t>-201</w:t>
      </w:r>
      <w:r w:rsidR="00755D86">
        <w:rPr>
          <w:b/>
        </w:rPr>
        <w:t>4</w:t>
      </w:r>
      <w:r>
        <w:rPr>
          <w:b/>
        </w:rPr>
        <w:t xml:space="preserve"> Accomplishments:</w:t>
      </w:r>
    </w:p>
    <w:p w:rsidR="00481035" w:rsidRDefault="00636CFD" w:rsidP="00481035">
      <w:pPr>
        <w:rPr>
          <w:b/>
        </w:rPr>
      </w:pPr>
      <w:r>
        <w:t xml:space="preserve">The CLT department was awarded </w:t>
      </w:r>
      <w:r w:rsidR="005D2495">
        <w:t xml:space="preserve">Perkins </w:t>
      </w:r>
      <w:r>
        <w:t>Funding to purchase twelve new microscopes with Phase contrast technology. These will be utilized in Hematology, Microbiology and especially urinal</w:t>
      </w:r>
      <w:r w:rsidR="009916BB">
        <w:t>ysis. This completed 12</w:t>
      </w:r>
      <w:r>
        <w:t xml:space="preserve"> student laboratory workspaces in The GLB 230 lab for Hematology and Microbiology. The spring Hematology and Microbiology labs were the first to use</w:t>
      </w:r>
      <w:r w:rsidR="009916BB">
        <w:t xml:space="preserve"> the new scopes. We purchased </w:t>
      </w:r>
      <w:r w:rsidR="005D2495">
        <w:t>additional equipment</w:t>
      </w:r>
      <w:r w:rsidR="009916BB">
        <w:t xml:space="preserve"> to include a serofuge for blood bank, f</w:t>
      </w:r>
      <w:r>
        <w:t xml:space="preserve">reezer, </w:t>
      </w:r>
      <w:r w:rsidR="009916BB">
        <w:t>and v</w:t>
      </w:r>
      <w:r>
        <w:t>enipuncture skin replacements</w:t>
      </w:r>
      <w:r w:rsidR="009916BB">
        <w:t>.</w:t>
      </w:r>
      <w:r>
        <w:t xml:space="preserve"> All of the requested items were awarded this year. The ASCP BOC and Medtraining subscriptions will be utilized for program assessment. Additionally the Medtraining subscription will supplement instruction in all CLT courses. Both Full-time instructors were able to attend educator</w:t>
      </w:r>
      <w:r w:rsidR="005D2495">
        <w:t>s’ conference and obtained over 12</w:t>
      </w:r>
      <w:r>
        <w:t xml:space="preserve"> CEU credit hours to satisfy the NAACLS standard.</w:t>
      </w:r>
    </w:p>
    <w:p w:rsidR="00481035" w:rsidRPr="00481035" w:rsidRDefault="00481035" w:rsidP="00481035">
      <w:pPr>
        <w:rPr>
          <w:b/>
        </w:rPr>
      </w:pPr>
      <w:r>
        <w:rPr>
          <w:b/>
        </w:rPr>
        <w:t>201</w:t>
      </w:r>
      <w:r w:rsidR="00755D86">
        <w:rPr>
          <w:b/>
        </w:rPr>
        <w:t>4</w:t>
      </w:r>
      <w:r>
        <w:rPr>
          <w:b/>
        </w:rPr>
        <w:t>-201</w:t>
      </w:r>
      <w:r w:rsidR="00755D86">
        <w:rPr>
          <w:b/>
        </w:rPr>
        <w:t>5</w:t>
      </w:r>
      <w:r w:rsidR="001D13DD">
        <w:rPr>
          <w:b/>
        </w:rPr>
        <w:t xml:space="preserve"> </w:t>
      </w:r>
      <w:r>
        <w:rPr>
          <w:b/>
        </w:rPr>
        <w:t xml:space="preserve">Accomplishments: </w:t>
      </w:r>
    </w:p>
    <w:p w:rsidR="00636CFD" w:rsidRPr="005D2495" w:rsidRDefault="005D2495" w:rsidP="00636CFD">
      <w:pPr>
        <w:rPr>
          <w:b/>
        </w:rPr>
      </w:pPr>
      <w:r>
        <w:t xml:space="preserve">The most important accomplishment this year was the NAACLS award of 10 more years of continuing accreditation. The site visit was conducted in November and the report contained no deficiencies. </w:t>
      </w:r>
      <w:r w:rsidR="00636CFD">
        <w:t>The CLT Department w</w:t>
      </w:r>
      <w:r>
        <w:t xml:space="preserve">as awarded Perkins Basic Grant </w:t>
      </w:r>
      <w:r w:rsidR="00636CFD">
        <w:t>funding to purchase the Horiba Automated Cell Counting instrumentation. The instrument was used in CLT 121 Hematology spring semester 2015. It was also used to demonstrate automated immunology testing and was incorporated into the CLT 181 course curriculum.</w:t>
      </w:r>
      <w:r>
        <w:t xml:space="preserve"> The part-time CLT instructors were approved a pay rate increase from $24.61 to $26.00 per hour. </w:t>
      </w:r>
      <w:r w:rsidR="00636CFD">
        <w:t xml:space="preserve">The serofuge and the urinalysis strip readers were not funded this year. These items have been moved to the 2015-2017 Strategic Plan Budget. Request will be made to purchase items using Perkins Basic Grant funds. </w:t>
      </w:r>
    </w:p>
    <w:p w:rsidR="00481035" w:rsidRDefault="00481035" w:rsidP="00481035">
      <w:pPr>
        <w:rPr>
          <w:u w:val="single"/>
        </w:rPr>
      </w:pPr>
    </w:p>
    <w:p w:rsidR="00BB4C08" w:rsidRDefault="00354644" w:rsidP="00BB4C08">
      <w:pPr>
        <w:rPr>
          <w:b/>
        </w:rPr>
      </w:pPr>
      <w:r>
        <w:rPr>
          <w:b/>
        </w:rPr>
        <w:t>Unit Goals for 2015-2016</w:t>
      </w:r>
    </w:p>
    <w:tbl>
      <w:tblPr>
        <w:tblStyle w:val="TableGrid"/>
        <w:tblW w:w="0" w:type="auto"/>
        <w:tblLook w:val="04A0" w:firstRow="1" w:lastRow="0" w:firstColumn="1" w:lastColumn="0" w:noHBand="0" w:noVBand="1"/>
      </w:tblPr>
      <w:tblGrid>
        <w:gridCol w:w="2448"/>
        <w:gridCol w:w="2110"/>
        <w:gridCol w:w="2030"/>
        <w:gridCol w:w="2700"/>
      </w:tblGrid>
      <w:tr w:rsidR="002B64AF" w:rsidTr="002B64AF">
        <w:tc>
          <w:tcPr>
            <w:tcW w:w="2448" w:type="dxa"/>
          </w:tcPr>
          <w:p w:rsidR="002B64AF" w:rsidRDefault="002B64AF" w:rsidP="00B97D18">
            <w:pPr>
              <w:rPr>
                <w:b/>
              </w:rPr>
            </w:pPr>
            <w:r>
              <w:rPr>
                <w:b/>
              </w:rPr>
              <w:t>Unit Goal</w:t>
            </w:r>
          </w:p>
        </w:tc>
        <w:tc>
          <w:tcPr>
            <w:tcW w:w="2110" w:type="dxa"/>
          </w:tcPr>
          <w:p w:rsidR="002B64AF" w:rsidRDefault="002B64AF" w:rsidP="00B97D18">
            <w:pPr>
              <w:rPr>
                <w:b/>
              </w:rPr>
            </w:pPr>
            <w:r>
              <w:rPr>
                <w:b/>
              </w:rPr>
              <w:t>Objectives</w:t>
            </w:r>
          </w:p>
        </w:tc>
        <w:tc>
          <w:tcPr>
            <w:tcW w:w="2030" w:type="dxa"/>
          </w:tcPr>
          <w:p w:rsidR="002B64AF" w:rsidRDefault="002B64AF" w:rsidP="00B97D18">
            <w:pPr>
              <w:rPr>
                <w:b/>
              </w:rPr>
            </w:pPr>
            <w:r>
              <w:rPr>
                <w:b/>
              </w:rPr>
              <w:t>Method of Assessment</w:t>
            </w:r>
          </w:p>
        </w:tc>
        <w:tc>
          <w:tcPr>
            <w:tcW w:w="2700" w:type="dxa"/>
          </w:tcPr>
          <w:p w:rsidR="002B64AF" w:rsidRDefault="002B64AF" w:rsidP="00B97D18">
            <w:pPr>
              <w:rPr>
                <w:b/>
              </w:rPr>
            </w:pPr>
            <w:r>
              <w:rPr>
                <w:b/>
              </w:rPr>
              <w:t>Additional Funding Requests</w:t>
            </w:r>
          </w:p>
        </w:tc>
      </w:tr>
      <w:tr w:rsidR="002B64AF" w:rsidRPr="004C37B5" w:rsidTr="002B64AF">
        <w:tc>
          <w:tcPr>
            <w:tcW w:w="2448" w:type="dxa"/>
          </w:tcPr>
          <w:p w:rsidR="002B64AF" w:rsidRDefault="004530D1" w:rsidP="005F2E8E">
            <w:r>
              <w:rPr>
                <w:b/>
                <w:u w:val="single"/>
              </w:rPr>
              <w:t xml:space="preserve">Goal </w:t>
            </w:r>
            <w:r w:rsidRPr="004530D1">
              <w:rPr>
                <w:b/>
              </w:rPr>
              <w:t>1</w:t>
            </w:r>
            <w:r>
              <w:rPr>
                <w:b/>
              </w:rPr>
              <w:t xml:space="preserve">: </w:t>
            </w:r>
            <w:r w:rsidR="002B64AF" w:rsidRPr="004530D1">
              <w:t>Provide</w:t>
            </w:r>
            <w:r w:rsidR="002B64AF">
              <w:t xml:space="preserve"> necessary equipment and reagents to teach entry level skills keeping abreast with new technology.</w:t>
            </w:r>
          </w:p>
          <w:p w:rsidR="004530D1" w:rsidRDefault="004530D1" w:rsidP="005F2E8E"/>
          <w:p w:rsidR="00951B90" w:rsidRPr="00951B90" w:rsidRDefault="002B64AF" w:rsidP="00951B90">
            <w:pPr>
              <w:rPr>
                <w:u w:val="single"/>
              </w:rPr>
            </w:pPr>
            <w:r w:rsidRPr="00951B90">
              <w:rPr>
                <w:b/>
                <w:u w:val="single"/>
              </w:rPr>
              <w:t>Program Outcome</w:t>
            </w:r>
            <w:r w:rsidR="00951B90" w:rsidRPr="00951B90">
              <w:rPr>
                <w:u w:val="single"/>
              </w:rPr>
              <w:t>#1</w:t>
            </w:r>
            <w:r w:rsidR="00951B90">
              <w:rPr>
                <w:u w:val="single"/>
              </w:rPr>
              <w:t>:</w:t>
            </w:r>
          </w:p>
          <w:p w:rsidR="002B64AF" w:rsidRPr="004C37B5" w:rsidRDefault="002B64AF" w:rsidP="00951B90">
            <w:r>
              <w:t>70% of students admitted to the CLT program will complete as technically competent individuals ready to enter the laboratory workforce</w:t>
            </w:r>
          </w:p>
        </w:tc>
        <w:tc>
          <w:tcPr>
            <w:tcW w:w="2110" w:type="dxa"/>
          </w:tcPr>
          <w:p w:rsidR="002B64AF" w:rsidRDefault="002B64AF" w:rsidP="00B97D18">
            <w:r>
              <w:t>1. Purchase the necessary equipment and supplies to provide high quality campus laboratory experiences that prepare them to enter the workforce as competent individuals</w:t>
            </w:r>
          </w:p>
          <w:p w:rsidR="002B64AF" w:rsidRDefault="002B64AF" w:rsidP="00B97D18"/>
          <w:p w:rsidR="002B64AF" w:rsidRPr="004C37B5" w:rsidRDefault="002B64AF" w:rsidP="001D5E10">
            <w:r>
              <w:t>2. Develop CLT 100 to provide phlebotomy competency for CLT graduates and provide Phlebotomy certification for students interested in healthcare. Purchase necessary equipment for the addition of CLT 100</w:t>
            </w:r>
          </w:p>
        </w:tc>
        <w:tc>
          <w:tcPr>
            <w:tcW w:w="2030" w:type="dxa"/>
          </w:tcPr>
          <w:p w:rsidR="002B64AF" w:rsidRDefault="002B64AF" w:rsidP="00B97D18">
            <w:r>
              <w:t>1. 80% or more of the faculty report satisfaction with available technology resources.</w:t>
            </w:r>
          </w:p>
          <w:p w:rsidR="002B64AF" w:rsidRDefault="002B64AF" w:rsidP="00B97D18"/>
          <w:p w:rsidR="002B64AF" w:rsidRPr="004C37B5" w:rsidRDefault="002B64AF" w:rsidP="00B97D18">
            <w:r>
              <w:t>2. 80% or more of students report satisfaction with available resources</w:t>
            </w:r>
          </w:p>
        </w:tc>
        <w:tc>
          <w:tcPr>
            <w:tcW w:w="2700" w:type="dxa"/>
          </w:tcPr>
          <w:p w:rsidR="002B64AF" w:rsidRDefault="002B64AF" w:rsidP="00B97D18">
            <w:r>
              <w:t>1. Purchase the following:</w:t>
            </w:r>
          </w:p>
          <w:p w:rsidR="002B64AF" w:rsidRDefault="002B64AF" w:rsidP="00B97D18">
            <w:r>
              <w:t>a) 1 Serofuge $4,062.50</w:t>
            </w:r>
          </w:p>
          <w:p w:rsidR="00175E10" w:rsidRDefault="00175E10" w:rsidP="00B97D18"/>
          <w:p w:rsidR="002B64AF" w:rsidRDefault="002B64AF" w:rsidP="00B97D18">
            <w:r>
              <w:t>b) 1 microhematocrit centrifuge $2,430.56</w:t>
            </w:r>
          </w:p>
          <w:p w:rsidR="00175E10" w:rsidRDefault="00175E10" w:rsidP="00B97D18"/>
          <w:p w:rsidR="002B64AF" w:rsidRDefault="002B64AF" w:rsidP="00B97D18">
            <w:r>
              <w:t>c) 2 urine strip readers</w:t>
            </w:r>
          </w:p>
          <w:p w:rsidR="002B64AF" w:rsidRDefault="002B64AF" w:rsidP="00B97D18">
            <w:r>
              <w:t>$2,730.21 to complete the equipment and workspace renovation in GLB 228.</w:t>
            </w:r>
          </w:p>
          <w:p w:rsidR="00175E10" w:rsidRDefault="00175E10" w:rsidP="00B97D18"/>
          <w:p w:rsidR="002B64AF" w:rsidRDefault="002B64AF" w:rsidP="00B97D18">
            <w:pPr>
              <w:ind w:left="-108"/>
            </w:pPr>
            <w:r>
              <w:t>2. Maintain Expendable supply budget</w:t>
            </w:r>
          </w:p>
          <w:p w:rsidR="002B64AF" w:rsidRDefault="002B64AF" w:rsidP="00B97D18">
            <w:pPr>
              <w:ind w:left="-108"/>
            </w:pPr>
            <w:r>
              <w:t>$20,000.00</w:t>
            </w:r>
          </w:p>
          <w:p w:rsidR="00175E10" w:rsidRDefault="00175E10" w:rsidP="00B97D18">
            <w:pPr>
              <w:ind w:left="-108"/>
            </w:pPr>
          </w:p>
          <w:p w:rsidR="002B64AF" w:rsidRDefault="002B64AF" w:rsidP="00B97D18">
            <w:pPr>
              <w:ind w:left="-108"/>
            </w:pPr>
            <w:r>
              <w:t>3. Upgrade Software</w:t>
            </w:r>
          </w:p>
          <w:p w:rsidR="002B64AF" w:rsidRDefault="002B64AF" w:rsidP="00B97D18">
            <w:pPr>
              <w:ind w:left="-108"/>
            </w:pPr>
            <w:r>
              <w:t>a. direct smear atlas $74.00</w:t>
            </w:r>
          </w:p>
          <w:p w:rsidR="002B64AF" w:rsidRDefault="002B64AF" w:rsidP="00B97D18">
            <w:pPr>
              <w:ind w:left="-108"/>
            </w:pPr>
            <w:r>
              <w:t>b. Microbiology question bank $995.00</w:t>
            </w:r>
          </w:p>
          <w:p w:rsidR="002B64AF" w:rsidRDefault="002B64AF" w:rsidP="00B97D18">
            <w:pPr>
              <w:ind w:left="-108"/>
            </w:pPr>
            <w:r>
              <w:t>c. Phlebotomy video series $249.00</w:t>
            </w:r>
          </w:p>
          <w:p w:rsidR="00175E10" w:rsidRDefault="00175E10" w:rsidP="00B97D18">
            <w:pPr>
              <w:ind w:left="-108"/>
            </w:pPr>
          </w:p>
          <w:p w:rsidR="002B64AF" w:rsidRDefault="002B64AF" w:rsidP="001D5E10">
            <w:pPr>
              <w:ind w:left="-108"/>
            </w:pPr>
            <w:r>
              <w:t>4. Microscope maintenance and cleaning for 27 scopes</w:t>
            </w:r>
          </w:p>
          <w:p w:rsidR="002B64AF" w:rsidRDefault="002B64AF" w:rsidP="001D5E10">
            <w:pPr>
              <w:ind w:left="-108"/>
            </w:pPr>
            <w:r>
              <w:t>Estimated cost:</w:t>
            </w:r>
          </w:p>
          <w:p w:rsidR="002B64AF" w:rsidRDefault="002B64AF" w:rsidP="005906D1">
            <w:pPr>
              <w:ind w:left="-108"/>
            </w:pPr>
            <w:r>
              <w:t>$1120.00</w:t>
            </w:r>
          </w:p>
          <w:p w:rsidR="00175E10" w:rsidRDefault="00175E10" w:rsidP="005906D1">
            <w:pPr>
              <w:ind w:left="-108"/>
            </w:pPr>
          </w:p>
          <w:p w:rsidR="002B64AF" w:rsidRPr="006E4A65" w:rsidRDefault="003A1296" w:rsidP="00B97D18">
            <w:pPr>
              <w:ind w:left="-108"/>
            </w:pPr>
            <w:r>
              <w:t xml:space="preserve">5. purchase five </w:t>
            </w:r>
            <w:r w:rsidR="002B64AF" w:rsidRPr="006E4A65">
              <w:t xml:space="preserve">venipuncture </w:t>
            </w:r>
            <w:r w:rsidR="002B64AF">
              <w:t>arms</w:t>
            </w:r>
            <w:r>
              <w:t>(phlebotomy training arms)</w:t>
            </w:r>
          </w:p>
          <w:p w:rsidR="002B64AF" w:rsidRDefault="002B64AF" w:rsidP="00B97D18">
            <w:pPr>
              <w:ind w:left="-108"/>
            </w:pPr>
            <w:r w:rsidRPr="006E4A65">
              <w:t>Estimated Cost of</w:t>
            </w:r>
            <w:r>
              <w:rPr>
                <w:strike/>
                <w:color w:val="FF0000"/>
              </w:rPr>
              <w:t xml:space="preserve"> </w:t>
            </w:r>
            <w:r w:rsidR="003A1296">
              <w:t>$3</w:t>
            </w:r>
            <w:r>
              <w:t>500.00</w:t>
            </w:r>
          </w:p>
          <w:p w:rsidR="00175E10" w:rsidRPr="004C37B5" w:rsidRDefault="00175E10" w:rsidP="00B97D18">
            <w:pPr>
              <w:ind w:left="-108"/>
            </w:pPr>
            <w:bookmarkStart w:id="0" w:name="_GoBack"/>
            <w:bookmarkEnd w:id="0"/>
          </w:p>
        </w:tc>
      </w:tr>
      <w:tr w:rsidR="002B64AF" w:rsidRPr="004C37B5" w:rsidTr="002B64AF">
        <w:tc>
          <w:tcPr>
            <w:tcW w:w="2448" w:type="dxa"/>
          </w:tcPr>
          <w:p w:rsidR="002B64AF" w:rsidRDefault="004530D1" w:rsidP="00B97D18">
            <w:r>
              <w:rPr>
                <w:b/>
                <w:u w:val="single"/>
              </w:rPr>
              <w:t xml:space="preserve">Goal 2: </w:t>
            </w:r>
            <w:r w:rsidR="002B64AF" w:rsidRPr="00FE6797">
              <w:t>Monitor student progress</w:t>
            </w:r>
            <w:r w:rsidR="002B64AF">
              <w:t xml:space="preserve"> with online tools that will enhance competency within the curriculum.</w:t>
            </w:r>
          </w:p>
          <w:p w:rsidR="004530D1" w:rsidRPr="002B64AF" w:rsidRDefault="004530D1" w:rsidP="00B97D18"/>
          <w:p w:rsidR="002B64AF" w:rsidRDefault="002B64AF" w:rsidP="00D92E19">
            <w:r w:rsidRPr="00951B90">
              <w:rPr>
                <w:b/>
                <w:u w:val="single"/>
              </w:rPr>
              <w:t>Program Outcome</w:t>
            </w:r>
            <w:r w:rsidR="00951B90" w:rsidRPr="00951B90">
              <w:rPr>
                <w:u w:val="single"/>
              </w:rPr>
              <w:t>#2:</w:t>
            </w:r>
            <w:r>
              <w:t xml:space="preserve"> Graduates will take the ASCP BOC national certification exam with a pass rate at or above the NAACLS benchmark of 75%</w:t>
            </w:r>
          </w:p>
          <w:p w:rsidR="004530D1" w:rsidRDefault="004530D1" w:rsidP="00D92E19"/>
        </w:tc>
        <w:tc>
          <w:tcPr>
            <w:tcW w:w="2110" w:type="dxa"/>
          </w:tcPr>
          <w:p w:rsidR="002B64AF" w:rsidRDefault="002B64AF" w:rsidP="00B97D18">
            <w:r>
              <w:t>1. To increase the number of students passing a national certification exam</w:t>
            </w:r>
          </w:p>
          <w:p w:rsidR="002B64AF" w:rsidRDefault="002B64AF" w:rsidP="00B97D18"/>
          <w:p w:rsidR="002B64AF" w:rsidRDefault="002B64AF" w:rsidP="00B97D18"/>
          <w:p w:rsidR="002B64AF" w:rsidRDefault="002B64AF" w:rsidP="00B97D18"/>
          <w:p w:rsidR="002B64AF" w:rsidRDefault="002B64AF" w:rsidP="00B97D18"/>
          <w:p w:rsidR="002B64AF" w:rsidRDefault="002B64AF" w:rsidP="00B97D18"/>
          <w:p w:rsidR="002B64AF" w:rsidRDefault="002B64AF" w:rsidP="00B97D18"/>
        </w:tc>
        <w:tc>
          <w:tcPr>
            <w:tcW w:w="2030" w:type="dxa"/>
          </w:tcPr>
          <w:p w:rsidR="002B64AF" w:rsidRPr="00D92E19" w:rsidRDefault="002B64AF" w:rsidP="00B97D18">
            <w:pPr>
              <w:rPr>
                <w:i/>
              </w:rPr>
            </w:pPr>
            <w:r w:rsidRPr="00D92E19">
              <w:rPr>
                <w:i/>
              </w:rPr>
              <w:t>1. ASCP BOC certification statistics at or above the NAACLS benchmark of 75%</w:t>
            </w:r>
          </w:p>
          <w:p w:rsidR="002B64AF" w:rsidRPr="00D92E19" w:rsidRDefault="002B64AF" w:rsidP="00B97D18">
            <w:pPr>
              <w:rPr>
                <w:i/>
              </w:rPr>
            </w:pPr>
          </w:p>
          <w:p w:rsidR="002B64AF" w:rsidRPr="00D92E19" w:rsidRDefault="002B64AF" w:rsidP="00B97D18">
            <w:pPr>
              <w:rPr>
                <w:i/>
              </w:rPr>
            </w:pPr>
          </w:p>
          <w:p w:rsidR="002B64AF" w:rsidRPr="00D92E19" w:rsidRDefault="002B64AF" w:rsidP="00B97D18">
            <w:pPr>
              <w:rPr>
                <w:i/>
              </w:rPr>
            </w:pPr>
          </w:p>
          <w:p w:rsidR="002B64AF" w:rsidRPr="00D92E19" w:rsidRDefault="002B64AF" w:rsidP="00B97D18">
            <w:pPr>
              <w:rPr>
                <w:i/>
              </w:rPr>
            </w:pPr>
          </w:p>
          <w:p w:rsidR="002B64AF" w:rsidRPr="00D92E19" w:rsidRDefault="002B64AF" w:rsidP="00B97D18">
            <w:pPr>
              <w:rPr>
                <w:i/>
              </w:rPr>
            </w:pPr>
          </w:p>
          <w:p w:rsidR="002B64AF" w:rsidRPr="00D92E19" w:rsidRDefault="002B64AF" w:rsidP="00B97D18">
            <w:pPr>
              <w:rPr>
                <w:i/>
              </w:rPr>
            </w:pPr>
          </w:p>
        </w:tc>
        <w:tc>
          <w:tcPr>
            <w:tcW w:w="2700" w:type="dxa"/>
          </w:tcPr>
          <w:p w:rsidR="002B64AF" w:rsidRPr="006E4A65" w:rsidRDefault="002B64AF" w:rsidP="00B97D18">
            <w:r w:rsidRPr="006E4A65">
              <w:t xml:space="preserve">1. ASCP BOC testing report </w:t>
            </w:r>
          </w:p>
          <w:p w:rsidR="002B64AF" w:rsidRPr="006E4A65" w:rsidRDefault="002B64AF" w:rsidP="00B97D18">
            <w:r w:rsidRPr="006E4A65">
              <w:t xml:space="preserve">Cost:  $125.00 per year. </w:t>
            </w:r>
          </w:p>
          <w:p w:rsidR="002B64AF" w:rsidRPr="006E4A65" w:rsidRDefault="002B64AF" w:rsidP="00B97D18">
            <w:r w:rsidRPr="006E4A65">
              <w:t xml:space="preserve">2. Medtraining training subscription </w:t>
            </w:r>
          </w:p>
          <w:p w:rsidR="002B64AF" w:rsidRDefault="002B64AF" w:rsidP="00B97D18">
            <w:r w:rsidRPr="006E4A65">
              <w:t>Cost: $1,</w:t>
            </w:r>
            <w:r>
              <w:t>1</w:t>
            </w:r>
            <w:r w:rsidRPr="006E4A65">
              <w:t>95.00 yearly</w:t>
            </w:r>
          </w:p>
          <w:p w:rsidR="002B64AF" w:rsidRDefault="002B64AF" w:rsidP="00B97D18">
            <w:r>
              <w:t>3. NAACLS Accreditation yearly fees $1913.00</w:t>
            </w:r>
          </w:p>
        </w:tc>
      </w:tr>
      <w:tr w:rsidR="002B64AF" w:rsidRPr="004C37B5" w:rsidTr="002B64AF">
        <w:tc>
          <w:tcPr>
            <w:tcW w:w="2448" w:type="dxa"/>
          </w:tcPr>
          <w:p w:rsidR="002B64AF" w:rsidRDefault="004530D1" w:rsidP="00D87587">
            <w:r>
              <w:rPr>
                <w:b/>
                <w:u w:val="single"/>
              </w:rPr>
              <w:t xml:space="preserve">Goal </w:t>
            </w:r>
            <w:r w:rsidRPr="004530D1">
              <w:rPr>
                <w:b/>
              </w:rPr>
              <w:t>3</w:t>
            </w:r>
            <w:r>
              <w:rPr>
                <w:b/>
              </w:rPr>
              <w:t xml:space="preserve">: </w:t>
            </w:r>
            <w:r w:rsidR="002B64AF" w:rsidRPr="004530D1">
              <w:t>Keep</w:t>
            </w:r>
            <w:r w:rsidR="002B64AF" w:rsidRPr="00086D68">
              <w:t xml:space="preserve"> abreast of changes and trends in the Laboratory Science profession to improve classroom instruction.</w:t>
            </w:r>
          </w:p>
          <w:p w:rsidR="004530D1" w:rsidRPr="00086D68" w:rsidRDefault="004530D1" w:rsidP="00D87587"/>
          <w:p w:rsidR="002B64AF" w:rsidRPr="00086D68" w:rsidRDefault="002B64AF" w:rsidP="002B64AF">
            <w:pPr>
              <w:rPr>
                <w:rFonts w:eastAsia="Times New Roman" w:cs="Arial"/>
              </w:rPr>
            </w:pPr>
            <w:r w:rsidRPr="00086D68">
              <w:t xml:space="preserve"> </w:t>
            </w:r>
            <w:r w:rsidRPr="00086D68">
              <w:rPr>
                <w:b/>
              </w:rPr>
              <w:t>NAACLS Standards</w:t>
            </w:r>
            <w:r w:rsidRPr="00086D68">
              <w:t xml:space="preserve"> </w:t>
            </w:r>
            <w:r w:rsidRPr="00086D68">
              <w:rPr>
                <w:rFonts w:eastAsia="Times New Roman" w:cs="Arial"/>
              </w:rPr>
              <w:t xml:space="preserve">NAACLS standard VII.A.2.C. </w:t>
            </w:r>
            <w:r w:rsidRPr="00086D68">
              <w:rPr>
                <w:rFonts w:eastAsia="Times New Roman" w:cs="Arial"/>
                <w:b/>
              </w:rPr>
              <w:t>The program coordinator</w:t>
            </w:r>
            <w:r w:rsidRPr="00086D68">
              <w:rPr>
                <w:rFonts w:eastAsia="Times New Roman" w:cs="Arial"/>
              </w:rPr>
              <w:t xml:space="preserve"> must show documentation of 36 CEU hours over each 3 year period. </w:t>
            </w:r>
          </w:p>
          <w:p w:rsidR="002B64AF" w:rsidRPr="00086D68" w:rsidRDefault="002B64AF" w:rsidP="002B64AF">
            <w:pPr>
              <w:pStyle w:val="Default"/>
              <w:rPr>
                <w:rFonts w:asciiTheme="minorHAnsi" w:hAnsiTheme="minorHAnsi"/>
                <w:sz w:val="22"/>
                <w:szCs w:val="22"/>
              </w:rPr>
            </w:pPr>
            <w:r w:rsidRPr="00086D68">
              <w:rPr>
                <w:rFonts w:asciiTheme="minorHAnsi" w:hAnsiTheme="minorHAnsi"/>
                <w:sz w:val="22"/>
                <w:szCs w:val="22"/>
              </w:rPr>
              <w:t>Standard VII.2.c.</w:t>
            </w:r>
          </w:p>
          <w:p w:rsidR="002B64AF" w:rsidRPr="00086D68" w:rsidRDefault="002B64AF" w:rsidP="002B64AF">
            <w:pPr>
              <w:pStyle w:val="Default"/>
              <w:rPr>
                <w:rFonts w:asciiTheme="minorHAnsi" w:hAnsiTheme="minorHAnsi"/>
                <w:b/>
                <w:sz w:val="22"/>
                <w:szCs w:val="22"/>
              </w:rPr>
            </w:pPr>
            <w:r w:rsidRPr="00086D68">
              <w:rPr>
                <w:rFonts w:asciiTheme="minorHAnsi" w:hAnsiTheme="minorHAnsi"/>
                <w:b/>
                <w:sz w:val="22"/>
                <w:szCs w:val="22"/>
              </w:rPr>
              <w:t xml:space="preserve">Didactic Instructor Appointments </w:t>
            </w:r>
          </w:p>
          <w:p w:rsidR="002B64AF" w:rsidRDefault="002B64AF" w:rsidP="002B64AF">
            <w:pPr>
              <w:pStyle w:val="Default"/>
              <w:rPr>
                <w:rFonts w:asciiTheme="minorHAnsi" w:hAnsiTheme="minorHAnsi"/>
                <w:sz w:val="22"/>
                <w:szCs w:val="22"/>
              </w:rPr>
            </w:pPr>
            <w:r w:rsidRPr="00086D68">
              <w:rPr>
                <w:rFonts w:asciiTheme="minorHAnsi" w:hAnsiTheme="minorHAnsi"/>
                <w:sz w:val="22"/>
                <w:szCs w:val="22"/>
              </w:rPr>
              <w:t>The program must have qualified faculty/instructors.  The program must ensure and document ongoing professional development of the program faculty/instructors.</w:t>
            </w:r>
          </w:p>
          <w:p w:rsidR="00086D68" w:rsidRPr="001D5E10" w:rsidRDefault="00086D68" w:rsidP="002B64AF">
            <w:pPr>
              <w:pStyle w:val="Default"/>
              <w:rPr>
                <w:rFonts w:asciiTheme="minorHAnsi" w:hAnsiTheme="minorHAnsi"/>
                <w:sz w:val="22"/>
                <w:szCs w:val="22"/>
              </w:rPr>
            </w:pPr>
          </w:p>
        </w:tc>
        <w:tc>
          <w:tcPr>
            <w:tcW w:w="2110" w:type="dxa"/>
          </w:tcPr>
          <w:p w:rsidR="002B64AF" w:rsidRDefault="002B64AF" w:rsidP="007B149C">
            <w:r>
              <w:t>1. Provide the CLT full-time faculty the opportunity to obtain professional development.</w:t>
            </w:r>
          </w:p>
          <w:p w:rsidR="002B64AF" w:rsidRDefault="002B64AF" w:rsidP="007B149C">
            <w:r>
              <w:t>2. Maintain faculty offices with up-to-date hardware and software in order to provide quality instruction and perform administrative duties.</w:t>
            </w:r>
          </w:p>
          <w:p w:rsidR="002B64AF" w:rsidRDefault="002B64AF" w:rsidP="002A27A4">
            <w:r>
              <w:t xml:space="preserve">a. </w:t>
            </w:r>
            <w:r w:rsidR="000554D9">
              <w:t xml:space="preserve">Provide  </w:t>
            </w:r>
            <w:r w:rsidR="00086D68">
              <w:t xml:space="preserve">a </w:t>
            </w:r>
            <w:r w:rsidR="000554D9">
              <w:t xml:space="preserve">printer/scanner </w:t>
            </w:r>
            <w:r w:rsidR="00086D68">
              <w:t>on the third floor of the George Layton Building for faculty use.</w:t>
            </w:r>
          </w:p>
          <w:p w:rsidR="002B64AF" w:rsidRDefault="002B64AF" w:rsidP="002A27A4">
            <w:r>
              <w:t>b. Replace outdated laptop used for CLT instruction</w:t>
            </w:r>
          </w:p>
        </w:tc>
        <w:tc>
          <w:tcPr>
            <w:tcW w:w="2030" w:type="dxa"/>
          </w:tcPr>
          <w:p w:rsidR="002B64AF" w:rsidRDefault="002B64AF" w:rsidP="00B97D18">
            <w:r w:rsidRPr="00D92E19">
              <w:t>1. Meets NAACLS continuing education standards for accreditation</w:t>
            </w:r>
            <w:r w:rsidR="00086D68">
              <w:t>.</w:t>
            </w:r>
          </w:p>
          <w:p w:rsidR="00086D68" w:rsidRDefault="00086D68" w:rsidP="00B97D18"/>
          <w:p w:rsidR="00086D68" w:rsidRPr="00D92E19" w:rsidRDefault="00086D68" w:rsidP="00B97D18">
            <w:r>
              <w:t>2. 80% or more of students report satisfaction with instructional resources.</w:t>
            </w:r>
          </w:p>
        </w:tc>
        <w:tc>
          <w:tcPr>
            <w:tcW w:w="2700" w:type="dxa"/>
          </w:tcPr>
          <w:p w:rsidR="002B64AF" w:rsidRPr="006E4A65" w:rsidRDefault="002B64AF" w:rsidP="00D92E19">
            <w:r>
              <w:t>1. Program Coordinator</w:t>
            </w:r>
            <w:r w:rsidRPr="006E4A65">
              <w:t xml:space="preserve"> to attend the CLEC Conference in </w:t>
            </w:r>
            <w:r>
              <w:t>Minneapolis MN. Feb 2016</w:t>
            </w:r>
          </w:p>
          <w:p w:rsidR="002B64AF" w:rsidRDefault="002B64AF" w:rsidP="00D92E19">
            <w:r w:rsidRPr="006E4A65">
              <w:t xml:space="preserve">Estimated cost of </w:t>
            </w:r>
            <w:r>
              <w:t xml:space="preserve"> $1,700.00</w:t>
            </w:r>
          </w:p>
          <w:p w:rsidR="002B64AF" w:rsidRDefault="002B64AF" w:rsidP="00D92E19">
            <w:r>
              <w:t>2. Clinical Coordinator</w:t>
            </w:r>
          </w:p>
          <w:p w:rsidR="002B64AF" w:rsidRDefault="002B64AF" w:rsidP="00D92E19">
            <w:r>
              <w:t>To attend CEU offering not to exceed $500.00 for IAP</w:t>
            </w:r>
          </w:p>
          <w:p w:rsidR="002B64AF" w:rsidRDefault="00086D68" w:rsidP="002A27A4">
            <w:r>
              <w:t>3. Provide</w:t>
            </w:r>
            <w:r w:rsidR="002B64AF">
              <w:t xml:space="preserve"> office printer/scanner</w:t>
            </w:r>
            <w:r>
              <w:t xml:space="preserve"> for third floor use in the GLB.</w:t>
            </w:r>
          </w:p>
          <w:p w:rsidR="002B64AF" w:rsidRDefault="002B64AF" w:rsidP="002A27A4">
            <w:r>
              <w:t>Estimated cost:</w:t>
            </w:r>
          </w:p>
          <w:p w:rsidR="002B64AF" w:rsidRDefault="002B64AF" w:rsidP="002A27A4">
            <w:r>
              <w:t>$600.00</w:t>
            </w:r>
            <w:r w:rsidR="00086D68">
              <w:t>-$1000.00</w:t>
            </w:r>
          </w:p>
          <w:p w:rsidR="002B64AF" w:rsidRDefault="002B64AF" w:rsidP="002A27A4">
            <w:r>
              <w:t>4. Purchase one replacement laptop for mobile units.</w:t>
            </w:r>
          </w:p>
          <w:p w:rsidR="002B64AF" w:rsidRDefault="002B64AF" w:rsidP="00D92E19">
            <w:r>
              <w:t>Estimated cost $1500,00</w:t>
            </w:r>
          </w:p>
        </w:tc>
      </w:tr>
      <w:tr w:rsidR="002B64AF" w:rsidRPr="004C37B5" w:rsidTr="002B64AF">
        <w:tc>
          <w:tcPr>
            <w:tcW w:w="2448" w:type="dxa"/>
          </w:tcPr>
          <w:p w:rsidR="002B64AF" w:rsidRDefault="004530D1" w:rsidP="00B97D18">
            <w:r>
              <w:rPr>
                <w:b/>
                <w:u w:val="single"/>
              </w:rPr>
              <w:t xml:space="preserve">Goal </w:t>
            </w:r>
            <w:r w:rsidRPr="004530D1">
              <w:rPr>
                <w:b/>
              </w:rPr>
              <w:t>4</w:t>
            </w:r>
            <w:r>
              <w:rPr>
                <w:b/>
              </w:rPr>
              <w:t xml:space="preserve">: </w:t>
            </w:r>
            <w:r w:rsidR="002B64AF" w:rsidRPr="004530D1">
              <w:t>Continue</w:t>
            </w:r>
            <w:r w:rsidR="002B64AF" w:rsidRPr="00725514">
              <w:t xml:space="preserve"> to develop and implement written Student Learning Outcomes (SLOs) for all courses in the department to more adequately document and enhance reporting of student progress in the department.</w:t>
            </w:r>
          </w:p>
          <w:p w:rsidR="004530D1" w:rsidRDefault="004530D1" w:rsidP="00B97D18"/>
          <w:p w:rsidR="00951B90" w:rsidRPr="00951B90" w:rsidRDefault="00951B90" w:rsidP="00B97D18">
            <w:pPr>
              <w:rPr>
                <w:b/>
                <w:u w:val="single"/>
              </w:rPr>
            </w:pPr>
            <w:r>
              <w:rPr>
                <w:b/>
                <w:u w:val="single"/>
              </w:rPr>
              <w:t>Program Outcome #4:</w:t>
            </w:r>
          </w:p>
          <w:p w:rsidR="002B64AF" w:rsidRPr="00725514" w:rsidRDefault="002B64AF" w:rsidP="00951B90">
            <w:r w:rsidRPr="007B149C">
              <w:t>Employers and graduates returning surveys will report 85% satisfaction with educational preparation</w:t>
            </w:r>
          </w:p>
        </w:tc>
        <w:tc>
          <w:tcPr>
            <w:tcW w:w="2110" w:type="dxa"/>
          </w:tcPr>
          <w:p w:rsidR="002B64AF" w:rsidRDefault="002B64AF" w:rsidP="00D72659">
            <w:r>
              <w:t xml:space="preserve"> 1. Review SLOs annually and revise as necessary based upon input from faculty, graduates, employers, and advisory committee members.</w:t>
            </w:r>
          </w:p>
          <w:p w:rsidR="002B64AF" w:rsidRPr="007B149C" w:rsidRDefault="002B64AF" w:rsidP="00D72659">
            <w:r>
              <w:t>2</w:t>
            </w:r>
            <w:r w:rsidRPr="007B149C">
              <w:t>. Maintain clinical affiliations with area hospitals.</w:t>
            </w:r>
          </w:p>
          <w:p w:rsidR="002B64AF" w:rsidRDefault="002B64AF" w:rsidP="00D72659">
            <w:r>
              <w:t>3</w:t>
            </w:r>
            <w:r w:rsidRPr="007B149C">
              <w:t>. Initiate contact with large clinics for possible core lab clinical rotations</w:t>
            </w:r>
          </w:p>
        </w:tc>
        <w:tc>
          <w:tcPr>
            <w:tcW w:w="2030" w:type="dxa"/>
          </w:tcPr>
          <w:p w:rsidR="002B64AF" w:rsidRDefault="002B64AF" w:rsidP="00B97D18">
            <w:r>
              <w:t>1. 80% of students surveyed will agree that outcomes are met.</w:t>
            </w:r>
          </w:p>
          <w:p w:rsidR="002B64AF" w:rsidRDefault="002B64AF" w:rsidP="00B97D18">
            <w:r>
              <w:t>2. 80% of employers surveyed will agree that outcomes are met.</w:t>
            </w:r>
          </w:p>
          <w:p w:rsidR="002B64AF" w:rsidRDefault="002B64AF" w:rsidP="00B97D18">
            <w:r>
              <w:t xml:space="preserve">3. Annual programmatic review of the outcomes assessment plan which incorporates surveys of employers, graduates, and advisory committee  </w:t>
            </w:r>
          </w:p>
          <w:p w:rsidR="002B64AF" w:rsidRDefault="002B64AF" w:rsidP="00B97D18">
            <w:r>
              <w:t>4</w:t>
            </w:r>
            <w:r w:rsidRPr="007B149C">
              <w:t>. Clinical agencies will be sufficient to provide enrolled students with diverse and plentiful opportunities.</w:t>
            </w:r>
          </w:p>
        </w:tc>
        <w:tc>
          <w:tcPr>
            <w:tcW w:w="2700" w:type="dxa"/>
          </w:tcPr>
          <w:p w:rsidR="002B64AF" w:rsidRDefault="002B64AF" w:rsidP="00B97D18">
            <w:r>
              <w:t>1. Funding for annual advisory meeting</w:t>
            </w:r>
          </w:p>
          <w:p w:rsidR="002B64AF" w:rsidRDefault="002B64AF" w:rsidP="00B97D18">
            <w:r>
              <w:t>Estimated cost: $150.00</w:t>
            </w:r>
          </w:p>
          <w:p w:rsidR="002B64AF" w:rsidRDefault="002B64AF" w:rsidP="00B97D18"/>
          <w:p w:rsidR="002B64AF" w:rsidRPr="007B149C" w:rsidRDefault="002B64AF" w:rsidP="000C353B">
            <w:r>
              <w:t>2</w:t>
            </w:r>
            <w:r w:rsidRPr="007B149C">
              <w:t xml:space="preserve">. Faculty travel expenses </w:t>
            </w:r>
          </w:p>
          <w:p w:rsidR="002B64AF" w:rsidRDefault="002B64AF" w:rsidP="000C353B">
            <w:r w:rsidRPr="007B149C">
              <w:t>Estimated cost:  $1,500.00 year</w:t>
            </w:r>
          </w:p>
          <w:p w:rsidR="002B64AF" w:rsidRDefault="002B64AF" w:rsidP="000C353B"/>
          <w:p w:rsidR="002B64AF" w:rsidRDefault="002B64AF" w:rsidP="000C353B"/>
        </w:tc>
      </w:tr>
    </w:tbl>
    <w:p w:rsidR="000E465F" w:rsidRDefault="005906D1" w:rsidP="00BB4C08">
      <w:pPr>
        <w:rPr>
          <w:b/>
        </w:rPr>
      </w:pPr>
      <w:r>
        <w:rPr>
          <w:b/>
        </w:rPr>
        <w:t xml:space="preserve"> </w:t>
      </w:r>
    </w:p>
    <w:p w:rsidR="000E465F" w:rsidRDefault="000E465F" w:rsidP="00BB4C08">
      <w:pPr>
        <w:rPr>
          <w:b/>
        </w:rPr>
      </w:pPr>
    </w:p>
    <w:p w:rsidR="00F61765" w:rsidRDefault="00755D86" w:rsidP="00BB4C08">
      <w:pPr>
        <w:rPr>
          <w:b/>
        </w:rPr>
      </w:pPr>
      <w:r>
        <w:rPr>
          <w:b/>
        </w:rPr>
        <w:t>Unit Goals for 2016-2017</w:t>
      </w:r>
    </w:p>
    <w:tbl>
      <w:tblPr>
        <w:tblStyle w:val="TableGrid"/>
        <w:tblW w:w="0" w:type="auto"/>
        <w:tblLook w:val="04A0" w:firstRow="1" w:lastRow="0" w:firstColumn="1" w:lastColumn="0" w:noHBand="0" w:noVBand="1"/>
      </w:tblPr>
      <w:tblGrid>
        <w:gridCol w:w="2448"/>
        <w:gridCol w:w="2160"/>
        <w:gridCol w:w="1980"/>
        <w:gridCol w:w="2987"/>
      </w:tblGrid>
      <w:tr w:rsidR="002B64AF" w:rsidTr="002B64AF">
        <w:tc>
          <w:tcPr>
            <w:tcW w:w="2448" w:type="dxa"/>
          </w:tcPr>
          <w:p w:rsidR="002B64AF" w:rsidRDefault="002B64AF" w:rsidP="00B97D18">
            <w:pPr>
              <w:rPr>
                <w:b/>
              </w:rPr>
            </w:pPr>
            <w:r>
              <w:rPr>
                <w:b/>
              </w:rPr>
              <w:t>Goal</w:t>
            </w:r>
          </w:p>
        </w:tc>
        <w:tc>
          <w:tcPr>
            <w:tcW w:w="2160" w:type="dxa"/>
          </w:tcPr>
          <w:p w:rsidR="002B64AF" w:rsidRDefault="002B64AF" w:rsidP="00B97D18">
            <w:pPr>
              <w:rPr>
                <w:b/>
              </w:rPr>
            </w:pPr>
            <w:r>
              <w:rPr>
                <w:b/>
              </w:rPr>
              <w:t>Objectives</w:t>
            </w:r>
          </w:p>
        </w:tc>
        <w:tc>
          <w:tcPr>
            <w:tcW w:w="1980" w:type="dxa"/>
          </w:tcPr>
          <w:p w:rsidR="002B64AF" w:rsidRDefault="002B64AF" w:rsidP="00B97D18">
            <w:pPr>
              <w:rPr>
                <w:b/>
              </w:rPr>
            </w:pPr>
            <w:r>
              <w:rPr>
                <w:b/>
              </w:rPr>
              <w:t>Method of Assessment</w:t>
            </w:r>
          </w:p>
        </w:tc>
        <w:tc>
          <w:tcPr>
            <w:tcW w:w="2700" w:type="dxa"/>
          </w:tcPr>
          <w:p w:rsidR="002B64AF" w:rsidRDefault="002B64AF" w:rsidP="00B97D18">
            <w:pPr>
              <w:rPr>
                <w:b/>
              </w:rPr>
            </w:pPr>
            <w:r>
              <w:rPr>
                <w:b/>
              </w:rPr>
              <w:t>Additional Funding Requests</w:t>
            </w:r>
          </w:p>
        </w:tc>
      </w:tr>
      <w:tr w:rsidR="002B64AF" w:rsidRPr="004C37B5" w:rsidTr="002B64AF">
        <w:tc>
          <w:tcPr>
            <w:tcW w:w="2448" w:type="dxa"/>
          </w:tcPr>
          <w:p w:rsidR="002B64AF" w:rsidRDefault="004530D1" w:rsidP="005906D1">
            <w:r>
              <w:rPr>
                <w:b/>
                <w:u w:val="single"/>
              </w:rPr>
              <w:t xml:space="preserve">Goal </w:t>
            </w:r>
            <w:r w:rsidRPr="004530D1">
              <w:rPr>
                <w:b/>
              </w:rPr>
              <w:t>1</w:t>
            </w:r>
            <w:r>
              <w:rPr>
                <w:b/>
              </w:rPr>
              <w:t xml:space="preserve">: </w:t>
            </w:r>
            <w:r w:rsidR="002B64AF" w:rsidRPr="004530D1">
              <w:t>Provide</w:t>
            </w:r>
            <w:r w:rsidR="002B64AF">
              <w:t xml:space="preserve"> necessary equipment and reagents to teach entry level skills keeping abreast with new technology.</w:t>
            </w:r>
          </w:p>
          <w:p w:rsidR="004530D1" w:rsidRPr="00FE6797" w:rsidRDefault="004530D1" w:rsidP="005906D1"/>
          <w:p w:rsidR="002B64AF" w:rsidRPr="00951B90" w:rsidRDefault="002B64AF" w:rsidP="002B64AF">
            <w:pPr>
              <w:rPr>
                <w:b/>
                <w:u w:val="single"/>
              </w:rPr>
            </w:pPr>
            <w:r w:rsidRPr="00951B90">
              <w:rPr>
                <w:b/>
                <w:u w:val="single"/>
              </w:rPr>
              <w:t>Program Outcome</w:t>
            </w:r>
            <w:r w:rsidR="004530D1" w:rsidRPr="00951B90">
              <w:rPr>
                <w:b/>
                <w:u w:val="single"/>
              </w:rPr>
              <w:t xml:space="preserve"> #1</w:t>
            </w:r>
            <w:r w:rsidR="00951B90">
              <w:rPr>
                <w:b/>
                <w:u w:val="single"/>
              </w:rPr>
              <w:t>:</w:t>
            </w:r>
          </w:p>
          <w:p w:rsidR="002B64AF" w:rsidRDefault="002B64AF" w:rsidP="002B64AF">
            <w:r>
              <w:t>70% of students admitted to the CLT program will complete as technically competent individuals ready to enter the laboratory workforce</w:t>
            </w:r>
          </w:p>
          <w:p w:rsidR="002B64AF" w:rsidRPr="005F2E8E" w:rsidRDefault="002B64AF" w:rsidP="002B64AF">
            <w:pPr>
              <w:rPr>
                <w:b/>
              </w:rPr>
            </w:pPr>
          </w:p>
        </w:tc>
        <w:tc>
          <w:tcPr>
            <w:tcW w:w="2160" w:type="dxa"/>
          </w:tcPr>
          <w:p w:rsidR="002B64AF" w:rsidRDefault="002B64AF" w:rsidP="00B97D18">
            <w:r>
              <w:t xml:space="preserve">1. Purchase the necessary equipment and supplies to provide high quality campus laboratory experiences. </w:t>
            </w:r>
          </w:p>
          <w:p w:rsidR="002B64AF" w:rsidRDefault="002B64AF" w:rsidP="00B97D18">
            <w:r>
              <w:t>2. Purchase necessary equipment for Phlebotomy certification program and the addition of CLT 100 to the curriculum</w:t>
            </w:r>
          </w:p>
          <w:p w:rsidR="002B64AF" w:rsidRPr="004C37B5" w:rsidRDefault="002B64AF" w:rsidP="00B97D18">
            <w:r>
              <w:t xml:space="preserve"> </w:t>
            </w:r>
          </w:p>
        </w:tc>
        <w:tc>
          <w:tcPr>
            <w:tcW w:w="1980" w:type="dxa"/>
          </w:tcPr>
          <w:p w:rsidR="002B64AF" w:rsidRDefault="002B64AF" w:rsidP="00B97D18">
            <w:r>
              <w:t>1. 80% or more of the faculty report satisfaction with available technology resources.</w:t>
            </w:r>
          </w:p>
          <w:p w:rsidR="002B64AF" w:rsidRPr="004C37B5" w:rsidRDefault="002B64AF" w:rsidP="00B97D18">
            <w:r>
              <w:t>2. 80% or more of students report satisfaction with available resources</w:t>
            </w:r>
          </w:p>
        </w:tc>
        <w:tc>
          <w:tcPr>
            <w:tcW w:w="2700" w:type="dxa"/>
          </w:tcPr>
          <w:p w:rsidR="002B64AF" w:rsidRDefault="002B64AF" w:rsidP="00095308">
            <w:pPr>
              <w:ind w:left="-108"/>
            </w:pPr>
            <w:r>
              <w:t>1. Maintain Expendable supply budget</w:t>
            </w:r>
          </w:p>
          <w:p w:rsidR="002B64AF" w:rsidRDefault="002B64AF" w:rsidP="00095308">
            <w:pPr>
              <w:ind w:left="-108"/>
            </w:pPr>
            <w:r>
              <w:t>$20,000.00</w:t>
            </w:r>
          </w:p>
          <w:p w:rsidR="00951B90" w:rsidRDefault="00951B90" w:rsidP="00095308">
            <w:pPr>
              <w:ind w:left="-108"/>
            </w:pPr>
          </w:p>
          <w:p w:rsidR="002B64AF" w:rsidRDefault="002B64AF" w:rsidP="00095308">
            <w:pPr>
              <w:ind w:left="-108"/>
            </w:pPr>
            <w:r>
              <w:t>2. Purchase  reagent storage refrigerator</w:t>
            </w:r>
          </w:p>
          <w:p w:rsidR="002B64AF" w:rsidRDefault="002B64AF" w:rsidP="005906D1">
            <w:pPr>
              <w:ind w:left="-108"/>
            </w:pPr>
            <w:r>
              <w:t>Estimated cost of $3,380.00</w:t>
            </w:r>
          </w:p>
          <w:p w:rsidR="00951B90" w:rsidRDefault="00951B90" w:rsidP="005906D1">
            <w:pPr>
              <w:ind w:left="-108"/>
            </w:pPr>
          </w:p>
          <w:p w:rsidR="002B64AF" w:rsidRPr="006E4A65" w:rsidRDefault="002B64AF" w:rsidP="00B97D18">
            <w:pPr>
              <w:ind w:left="-108"/>
            </w:pPr>
            <w:r>
              <w:t>3</w:t>
            </w:r>
            <w:r w:rsidRPr="006E4A65">
              <w:t>.   Four (4) Venipuncture Replacement Skins</w:t>
            </w:r>
          </w:p>
          <w:p w:rsidR="00951B90" w:rsidRDefault="002B64AF" w:rsidP="00B97D18">
            <w:pPr>
              <w:ind w:left="-108"/>
            </w:pPr>
            <w:r w:rsidRPr="006E4A65">
              <w:t>Estimated cost: $680.00</w:t>
            </w:r>
          </w:p>
          <w:p w:rsidR="002B64AF" w:rsidRDefault="002B64AF" w:rsidP="00B97D18">
            <w:pPr>
              <w:ind w:left="-108"/>
            </w:pPr>
            <w:r>
              <w:t xml:space="preserve"> </w:t>
            </w:r>
          </w:p>
          <w:p w:rsidR="002B64AF" w:rsidRDefault="002B64AF" w:rsidP="00951B90">
            <w:pPr>
              <w:pStyle w:val="ListParagraph"/>
              <w:numPr>
                <w:ilvl w:val="0"/>
                <w:numId w:val="3"/>
              </w:numPr>
            </w:pPr>
            <w:r>
              <w:t>Depending on the success of the addition of CLT 100, we would like to find funding to update the classroom in GLB 233 with instructional technology and student tables to resemble the updated CLT Labs in GLB 228 and 231.</w:t>
            </w:r>
          </w:p>
          <w:p w:rsidR="002B64AF" w:rsidRDefault="002B64AF" w:rsidP="005906D1">
            <w:pPr>
              <w:ind w:left="-108"/>
            </w:pPr>
            <w:r>
              <w:t>Estimated cost $10,000</w:t>
            </w:r>
          </w:p>
          <w:p w:rsidR="00951B90" w:rsidRPr="004C37B5" w:rsidRDefault="00951B90" w:rsidP="005906D1">
            <w:pPr>
              <w:ind w:left="-108"/>
            </w:pPr>
          </w:p>
        </w:tc>
      </w:tr>
      <w:tr w:rsidR="002B64AF" w:rsidTr="002B64AF">
        <w:tc>
          <w:tcPr>
            <w:tcW w:w="2448" w:type="dxa"/>
          </w:tcPr>
          <w:p w:rsidR="002B64AF" w:rsidRDefault="004530D1" w:rsidP="00293308">
            <w:r>
              <w:rPr>
                <w:b/>
                <w:u w:val="single"/>
              </w:rPr>
              <w:t xml:space="preserve">Goal </w:t>
            </w:r>
            <w:r w:rsidRPr="004530D1">
              <w:rPr>
                <w:b/>
              </w:rPr>
              <w:t>2</w:t>
            </w:r>
            <w:r>
              <w:rPr>
                <w:b/>
              </w:rPr>
              <w:t xml:space="preserve">: </w:t>
            </w:r>
            <w:r w:rsidR="002B64AF" w:rsidRPr="004530D1">
              <w:t>Monitor</w:t>
            </w:r>
            <w:r w:rsidR="002B64AF" w:rsidRPr="00FE6797">
              <w:t xml:space="preserve"> student progress</w:t>
            </w:r>
            <w:r w:rsidR="002B64AF">
              <w:t xml:space="preserve"> with online tools that will enhance competency within the curriculum.</w:t>
            </w:r>
          </w:p>
          <w:p w:rsidR="004530D1" w:rsidRDefault="004530D1" w:rsidP="00293308"/>
          <w:p w:rsidR="002B64AF" w:rsidRPr="00951B90" w:rsidRDefault="002B64AF" w:rsidP="002B64AF">
            <w:pPr>
              <w:rPr>
                <w:b/>
                <w:u w:val="single"/>
              </w:rPr>
            </w:pPr>
            <w:r w:rsidRPr="00951B90">
              <w:rPr>
                <w:b/>
                <w:u w:val="single"/>
              </w:rPr>
              <w:t>Program Outcome</w:t>
            </w:r>
            <w:r w:rsidR="004530D1" w:rsidRPr="00951B90">
              <w:rPr>
                <w:b/>
                <w:u w:val="single"/>
              </w:rPr>
              <w:t xml:space="preserve"> #2</w:t>
            </w:r>
            <w:r w:rsidR="00951B90">
              <w:rPr>
                <w:b/>
                <w:u w:val="single"/>
              </w:rPr>
              <w:t>:</w:t>
            </w:r>
          </w:p>
          <w:p w:rsidR="002B64AF" w:rsidRDefault="002B64AF" w:rsidP="00293308">
            <w:r>
              <w:t>Graduates will take the ASCP BOC national certification exam with a pass rate at or above the NAACLS benchmark of 75%</w:t>
            </w:r>
          </w:p>
          <w:p w:rsidR="004530D1" w:rsidRPr="005906D1" w:rsidRDefault="004530D1" w:rsidP="00293308"/>
        </w:tc>
        <w:tc>
          <w:tcPr>
            <w:tcW w:w="2160" w:type="dxa"/>
          </w:tcPr>
          <w:p w:rsidR="002B64AF" w:rsidRDefault="002B64AF" w:rsidP="00293308">
            <w:r>
              <w:t>1. To increase the number of students passing a national certification exam</w:t>
            </w:r>
          </w:p>
          <w:p w:rsidR="002B64AF" w:rsidRDefault="002B64AF" w:rsidP="00293308"/>
          <w:p w:rsidR="002B64AF" w:rsidRDefault="002B64AF" w:rsidP="00293308"/>
          <w:p w:rsidR="002B64AF" w:rsidRDefault="002B64AF" w:rsidP="00293308"/>
          <w:p w:rsidR="002B64AF" w:rsidRDefault="002B64AF" w:rsidP="00293308"/>
          <w:p w:rsidR="002B64AF" w:rsidRDefault="002B64AF" w:rsidP="00293308"/>
          <w:p w:rsidR="002B64AF" w:rsidRDefault="002B64AF" w:rsidP="00293308"/>
          <w:p w:rsidR="002B64AF" w:rsidRDefault="002B64AF" w:rsidP="00293308"/>
        </w:tc>
        <w:tc>
          <w:tcPr>
            <w:tcW w:w="1980" w:type="dxa"/>
          </w:tcPr>
          <w:p w:rsidR="002B64AF" w:rsidRPr="00D92E19" w:rsidRDefault="002B64AF" w:rsidP="00293308">
            <w:pPr>
              <w:rPr>
                <w:i/>
              </w:rPr>
            </w:pPr>
            <w:r w:rsidRPr="00D92E19">
              <w:rPr>
                <w:i/>
              </w:rPr>
              <w:t>1. ASCP BOC certification statistics at or above the NAACLS benchmark of 75%</w:t>
            </w: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tc>
        <w:tc>
          <w:tcPr>
            <w:tcW w:w="2700" w:type="dxa"/>
          </w:tcPr>
          <w:p w:rsidR="002B64AF" w:rsidRPr="006E4A65" w:rsidRDefault="002B64AF" w:rsidP="00293308">
            <w:r w:rsidRPr="006E4A65">
              <w:t xml:space="preserve">1. ASCP BOC testing report </w:t>
            </w:r>
          </w:p>
          <w:p w:rsidR="00951B90" w:rsidRDefault="002B64AF" w:rsidP="00293308">
            <w:r w:rsidRPr="006E4A65">
              <w:t>Cost:  $125.00 per year</w:t>
            </w:r>
          </w:p>
          <w:p w:rsidR="002B64AF" w:rsidRPr="006E4A65" w:rsidRDefault="002B64AF" w:rsidP="00293308">
            <w:r w:rsidRPr="006E4A65">
              <w:t xml:space="preserve">. </w:t>
            </w:r>
          </w:p>
          <w:p w:rsidR="002B64AF" w:rsidRPr="006E4A65" w:rsidRDefault="002B64AF" w:rsidP="00293308">
            <w:r w:rsidRPr="006E4A65">
              <w:t xml:space="preserve">2. Medtraining training subscription </w:t>
            </w:r>
          </w:p>
          <w:p w:rsidR="002B64AF" w:rsidRDefault="002B64AF" w:rsidP="00293308">
            <w:r w:rsidRPr="006E4A65">
              <w:t>Cost: $1,</w:t>
            </w:r>
            <w:r>
              <w:t>1</w:t>
            </w:r>
            <w:r w:rsidRPr="006E4A65">
              <w:t>95.00 yearly</w:t>
            </w:r>
          </w:p>
          <w:p w:rsidR="00951B90" w:rsidRDefault="00951B90" w:rsidP="00293308"/>
          <w:p w:rsidR="002B64AF" w:rsidRDefault="002B64AF" w:rsidP="00293308">
            <w:r>
              <w:t>3. NAACLS Accreditation yearly fees $1913.00</w:t>
            </w:r>
          </w:p>
        </w:tc>
      </w:tr>
      <w:tr w:rsidR="002B64AF" w:rsidTr="002B64AF">
        <w:tc>
          <w:tcPr>
            <w:tcW w:w="2448" w:type="dxa"/>
          </w:tcPr>
          <w:p w:rsidR="002B64AF" w:rsidRDefault="004530D1" w:rsidP="005906D1">
            <w:r>
              <w:rPr>
                <w:b/>
              </w:rPr>
              <w:t xml:space="preserve"> </w:t>
            </w:r>
            <w:r>
              <w:rPr>
                <w:b/>
                <w:u w:val="single"/>
              </w:rPr>
              <w:t xml:space="preserve">Goal </w:t>
            </w:r>
            <w:r w:rsidRPr="004530D1">
              <w:rPr>
                <w:b/>
                <w:u w:val="single"/>
              </w:rPr>
              <w:t>3</w:t>
            </w:r>
            <w:r>
              <w:rPr>
                <w:b/>
                <w:u w:val="single"/>
              </w:rPr>
              <w:t xml:space="preserve">: </w:t>
            </w:r>
            <w:r w:rsidR="002B64AF" w:rsidRPr="004530D1">
              <w:t>Keep</w:t>
            </w:r>
            <w:r w:rsidR="002B64AF">
              <w:t xml:space="preserve"> abreast of changes and trends in the Laboratory Science profession to improve classroom instruction.</w:t>
            </w:r>
          </w:p>
          <w:p w:rsidR="004530D1" w:rsidRDefault="004530D1" w:rsidP="005906D1"/>
          <w:p w:rsidR="002B64AF" w:rsidRDefault="002B64AF" w:rsidP="002B64AF">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rsidR="002B64AF" w:rsidRPr="00D87587" w:rsidRDefault="002B64AF" w:rsidP="002B64AF">
            <w:r w:rsidRPr="00D87587">
              <w:rPr>
                <w:rFonts w:eastAsia="Times New Roman" w:cs="Arial"/>
              </w:rPr>
              <w:t xml:space="preserve">documentation of 36 CEU hours over each 3 year period. </w:t>
            </w:r>
          </w:p>
          <w:p w:rsidR="002B64AF" w:rsidRPr="00D87587" w:rsidRDefault="002B64AF" w:rsidP="002B64AF">
            <w:pPr>
              <w:pStyle w:val="Default"/>
              <w:rPr>
                <w:rFonts w:asciiTheme="minorHAnsi" w:hAnsiTheme="minorHAnsi"/>
                <w:sz w:val="22"/>
                <w:szCs w:val="22"/>
              </w:rPr>
            </w:pPr>
            <w:r>
              <w:rPr>
                <w:rFonts w:asciiTheme="minorHAnsi" w:hAnsiTheme="minorHAnsi"/>
                <w:sz w:val="22"/>
                <w:szCs w:val="22"/>
              </w:rPr>
              <w:t>Standard VII.2.c.</w:t>
            </w:r>
          </w:p>
          <w:p w:rsidR="002B64AF" w:rsidRPr="00D87587" w:rsidRDefault="002B64AF" w:rsidP="002B64AF">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rsidR="002B64AF" w:rsidRDefault="002B64AF" w:rsidP="002B64AF">
            <w:r w:rsidRPr="00D87587">
              <w:t>The program must have qualified faculty/instructors</w:t>
            </w:r>
            <w:r>
              <w:t>.</w:t>
            </w:r>
            <w:r w:rsidRPr="00D87587">
              <w:t xml:space="preserve">  The program must ensure and document ongoing professional development of th</w:t>
            </w:r>
            <w:r>
              <w:t>e program faculty/instructors.</w:t>
            </w:r>
          </w:p>
          <w:p w:rsidR="004530D1" w:rsidRPr="00D87587" w:rsidRDefault="004530D1" w:rsidP="002B64AF">
            <w:pPr>
              <w:rPr>
                <w:b/>
              </w:rPr>
            </w:pPr>
          </w:p>
        </w:tc>
        <w:tc>
          <w:tcPr>
            <w:tcW w:w="2160" w:type="dxa"/>
          </w:tcPr>
          <w:p w:rsidR="002B64AF" w:rsidRDefault="002B64AF" w:rsidP="00293308">
            <w:r>
              <w:t>1. Provide the CLT full-time faculty the opportunity to obtain professional development.</w:t>
            </w:r>
          </w:p>
        </w:tc>
        <w:tc>
          <w:tcPr>
            <w:tcW w:w="1980" w:type="dxa"/>
          </w:tcPr>
          <w:p w:rsidR="002B64AF" w:rsidRPr="00D92E19" w:rsidRDefault="002B64AF" w:rsidP="00293308">
            <w:r w:rsidRPr="00D92E19">
              <w:t>1. Meets NAACLS continuing education standards for accreditation</w:t>
            </w:r>
          </w:p>
        </w:tc>
        <w:tc>
          <w:tcPr>
            <w:tcW w:w="2700" w:type="dxa"/>
          </w:tcPr>
          <w:p w:rsidR="002B64AF" w:rsidRDefault="002B64AF" w:rsidP="00293308">
            <w:r>
              <w:t xml:space="preserve">1. Program Coordinator or Clinical Coordinator to attend </w:t>
            </w:r>
            <w:r w:rsidRPr="006E4A65">
              <w:t>CLEC</w:t>
            </w:r>
            <w:r>
              <w:t>.</w:t>
            </w:r>
            <w:r w:rsidRPr="006E4A65">
              <w:t xml:space="preserve"> </w:t>
            </w:r>
            <w:r>
              <w:t>Site to be determined.</w:t>
            </w:r>
          </w:p>
          <w:p w:rsidR="002B64AF" w:rsidRDefault="002B64AF" w:rsidP="00293308">
            <w:r w:rsidRPr="006E4A65">
              <w:t xml:space="preserve">Estimated cost of </w:t>
            </w:r>
            <w:r>
              <w:t xml:space="preserve"> $1,700.00</w:t>
            </w:r>
          </w:p>
          <w:p w:rsidR="00951B90" w:rsidRDefault="00951B90" w:rsidP="00293308"/>
          <w:p w:rsidR="002B64AF" w:rsidRDefault="002B64AF" w:rsidP="00293308">
            <w:r>
              <w:t>2. Program Coordinator or Clinical Coordinator</w:t>
            </w:r>
          </w:p>
          <w:p w:rsidR="002B64AF" w:rsidRDefault="002B64AF" w:rsidP="00293308">
            <w:r>
              <w:t>To attend CEU offering not to exceed $500.00 for IAP</w:t>
            </w:r>
          </w:p>
        </w:tc>
      </w:tr>
      <w:tr w:rsidR="002B64AF" w:rsidTr="002B64AF">
        <w:tc>
          <w:tcPr>
            <w:tcW w:w="2448" w:type="dxa"/>
          </w:tcPr>
          <w:p w:rsidR="00951B90" w:rsidRDefault="00951B90" w:rsidP="00951B90">
            <w:r>
              <w:rPr>
                <w:b/>
                <w:u w:val="single"/>
              </w:rPr>
              <w:t xml:space="preserve">Goal </w:t>
            </w:r>
            <w:r w:rsidRPr="004530D1">
              <w:rPr>
                <w:b/>
              </w:rPr>
              <w:t>4</w:t>
            </w:r>
            <w:r>
              <w:rPr>
                <w:b/>
              </w:rPr>
              <w:t xml:space="preserve">: </w:t>
            </w:r>
            <w:r w:rsidRPr="004530D1">
              <w:t>Continue</w:t>
            </w:r>
            <w:r w:rsidRPr="00725514">
              <w:t xml:space="preserve"> to develop and implement written Student Learning Outcomes (SLOs) for all courses in the department to more adequately document and enhance reporting of student progress in the department.</w:t>
            </w:r>
          </w:p>
          <w:p w:rsidR="00951B90" w:rsidRPr="00725514" w:rsidRDefault="00951B90" w:rsidP="00951B90"/>
          <w:p w:rsidR="00951B90" w:rsidRDefault="00951B90" w:rsidP="003A1296">
            <w:pPr>
              <w:rPr>
                <w:b/>
              </w:rPr>
            </w:pPr>
          </w:p>
          <w:p w:rsidR="002B64AF" w:rsidRPr="00951B90" w:rsidRDefault="002B64AF" w:rsidP="003A1296">
            <w:pPr>
              <w:rPr>
                <w:b/>
                <w:u w:val="single"/>
              </w:rPr>
            </w:pPr>
            <w:r w:rsidRPr="00951B90">
              <w:rPr>
                <w:b/>
                <w:u w:val="single"/>
              </w:rPr>
              <w:t>Program Outcome</w:t>
            </w:r>
            <w:r w:rsidR="004530D1" w:rsidRPr="00951B90">
              <w:rPr>
                <w:b/>
                <w:u w:val="single"/>
              </w:rPr>
              <w:t>#4</w:t>
            </w:r>
            <w:r w:rsidR="00951B90">
              <w:rPr>
                <w:b/>
                <w:u w:val="single"/>
              </w:rPr>
              <w:t>:</w:t>
            </w:r>
          </w:p>
          <w:p w:rsidR="002B64AF" w:rsidRDefault="002B64AF" w:rsidP="003A1296">
            <w:r w:rsidRPr="007B149C">
              <w:t>Employers and graduates returning surveys will report 85% satisfaction with educational preparation</w:t>
            </w:r>
          </w:p>
        </w:tc>
        <w:tc>
          <w:tcPr>
            <w:tcW w:w="2160" w:type="dxa"/>
          </w:tcPr>
          <w:p w:rsidR="002B64AF" w:rsidRDefault="002B64AF" w:rsidP="003A1296">
            <w:r>
              <w:t xml:space="preserve"> 1. Review SLOs annually and revise as necessary based upon input from faculty, graduates, employers, and advisory committee members.</w:t>
            </w:r>
          </w:p>
          <w:p w:rsidR="002B64AF" w:rsidRPr="007B149C" w:rsidRDefault="002B64AF" w:rsidP="003A1296">
            <w:r>
              <w:t>2</w:t>
            </w:r>
            <w:r w:rsidRPr="007B149C">
              <w:t>. Maintain clinical affiliations with area hospitals.</w:t>
            </w:r>
          </w:p>
          <w:p w:rsidR="002B64AF" w:rsidRDefault="002B64AF" w:rsidP="003A1296">
            <w:r>
              <w:t>3</w:t>
            </w:r>
            <w:r w:rsidRPr="007B149C">
              <w:t>. Initiate contact with large clinics for possible core lab clinical rotations</w:t>
            </w:r>
          </w:p>
        </w:tc>
        <w:tc>
          <w:tcPr>
            <w:tcW w:w="1980" w:type="dxa"/>
          </w:tcPr>
          <w:p w:rsidR="002B64AF" w:rsidRDefault="002B64AF" w:rsidP="003A1296">
            <w:r>
              <w:t>1. 80% of students surveyed will agree that outcomes are met.</w:t>
            </w:r>
          </w:p>
          <w:p w:rsidR="002B64AF" w:rsidRDefault="002B64AF" w:rsidP="003A1296">
            <w:r>
              <w:t>2. 80% of employers surveyed will agree that outcomes are met.</w:t>
            </w:r>
          </w:p>
          <w:p w:rsidR="002B64AF" w:rsidRDefault="002B64AF" w:rsidP="003A1296">
            <w:r>
              <w:t xml:space="preserve">3. Annual programmatic review of the outcomes assessment plan which incorporates surveys of employers, graduates, and advisory committee  </w:t>
            </w:r>
          </w:p>
          <w:p w:rsidR="002B64AF" w:rsidRDefault="002B64AF" w:rsidP="003A1296">
            <w:r>
              <w:t>4</w:t>
            </w:r>
            <w:r w:rsidRPr="007B149C">
              <w:t>. Clinical agencies will be sufficient to provide enrolled students with diver</w:t>
            </w:r>
            <w:r>
              <w:t>se and plentiful opportunities.</w:t>
            </w:r>
          </w:p>
        </w:tc>
        <w:tc>
          <w:tcPr>
            <w:tcW w:w="2700" w:type="dxa"/>
          </w:tcPr>
          <w:p w:rsidR="002B64AF" w:rsidRDefault="002B64AF" w:rsidP="003A1296">
            <w:r>
              <w:t>1. Funding for annual advisory meeting</w:t>
            </w:r>
          </w:p>
          <w:p w:rsidR="002B64AF" w:rsidRDefault="002B64AF" w:rsidP="003A1296">
            <w:r>
              <w:t>Estimated cost: $150.00</w:t>
            </w:r>
          </w:p>
          <w:p w:rsidR="00951B90" w:rsidRDefault="00951B90" w:rsidP="003A1296"/>
          <w:p w:rsidR="002B64AF" w:rsidRPr="007B149C" w:rsidRDefault="002B64AF" w:rsidP="003A1296">
            <w:r>
              <w:t>2</w:t>
            </w:r>
            <w:r w:rsidRPr="007B149C">
              <w:t xml:space="preserve">. Faculty travel expenses </w:t>
            </w:r>
          </w:p>
          <w:p w:rsidR="002B64AF" w:rsidRDefault="002B64AF" w:rsidP="003A1296">
            <w:r w:rsidRPr="007B149C">
              <w:t>Estimated cost:  $1,500.00 year</w:t>
            </w:r>
          </w:p>
          <w:p w:rsidR="002B64AF" w:rsidRDefault="002B64AF" w:rsidP="003A1296"/>
          <w:p w:rsidR="002B64AF" w:rsidRDefault="002B64AF" w:rsidP="003A1296"/>
        </w:tc>
      </w:tr>
    </w:tbl>
    <w:p w:rsidR="00636CFD" w:rsidRPr="00BB4C08" w:rsidRDefault="00636CFD" w:rsidP="00BB4C08">
      <w:pPr>
        <w:rPr>
          <w:b/>
        </w:rPr>
      </w:pPr>
    </w:p>
    <w:sectPr w:rsidR="00636CFD"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43" w:rsidRDefault="00074143" w:rsidP="007D08A3">
      <w:pPr>
        <w:spacing w:after="0" w:line="240" w:lineRule="auto"/>
      </w:pPr>
      <w:r>
        <w:separator/>
      </w:r>
    </w:p>
  </w:endnote>
  <w:endnote w:type="continuationSeparator" w:id="0">
    <w:p w:rsidR="00074143" w:rsidRDefault="0007414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39260"/>
      <w:docPartObj>
        <w:docPartGallery w:val="Page Numbers (Bottom of Page)"/>
        <w:docPartUnique/>
      </w:docPartObj>
    </w:sdtPr>
    <w:sdtEndPr>
      <w:rPr>
        <w:noProof/>
      </w:rPr>
    </w:sdtEndPr>
    <w:sdtContent>
      <w:p w:rsidR="004530D1" w:rsidRDefault="004530D1">
        <w:pPr>
          <w:pStyle w:val="Footer"/>
        </w:pPr>
        <w:r>
          <w:fldChar w:fldCharType="begin"/>
        </w:r>
        <w:r>
          <w:instrText xml:space="preserve"> PAGE   \* MERGEFORMAT </w:instrText>
        </w:r>
        <w:r>
          <w:fldChar w:fldCharType="separate"/>
        </w:r>
        <w:r w:rsidR="00074143">
          <w:rPr>
            <w:noProof/>
          </w:rPr>
          <w:t>1</w:t>
        </w:r>
        <w:r>
          <w:rPr>
            <w:noProof/>
          </w:rPr>
          <w:fldChar w:fldCharType="end"/>
        </w:r>
      </w:p>
    </w:sdtContent>
  </w:sdt>
  <w:p w:rsidR="004530D1" w:rsidRDefault="0045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43" w:rsidRDefault="00074143" w:rsidP="007D08A3">
      <w:pPr>
        <w:spacing w:after="0" w:line="240" w:lineRule="auto"/>
      </w:pPr>
      <w:r>
        <w:separator/>
      </w:r>
    </w:p>
  </w:footnote>
  <w:footnote w:type="continuationSeparator" w:id="0">
    <w:p w:rsidR="00074143" w:rsidRDefault="00074143"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364941"/>
    <w:multiLevelType w:val="hybridMultilevel"/>
    <w:tmpl w:val="E73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C2A1B"/>
    <w:multiLevelType w:val="hybridMultilevel"/>
    <w:tmpl w:val="9D3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03BDD"/>
    <w:multiLevelType w:val="hybridMultilevel"/>
    <w:tmpl w:val="B21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47DD7"/>
    <w:multiLevelType w:val="hybridMultilevel"/>
    <w:tmpl w:val="CBC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C069C"/>
    <w:multiLevelType w:val="hybridMultilevel"/>
    <w:tmpl w:val="4CA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554D9"/>
    <w:rsid w:val="00074143"/>
    <w:rsid w:val="00086D68"/>
    <w:rsid w:val="00095308"/>
    <w:rsid w:val="000A7774"/>
    <w:rsid w:val="000C353B"/>
    <w:rsid w:val="000D0741"/>
    <w:rsid w:val="000E465F"/>
    <w:rsid w:val="000E643B"/>
    <w:rsid w:val="00110434"/>
    <w:rsid w:val="00175E10"/>
    <w:rsid w:val="001D13DD"/>
    <w:rsid w:val="001D5E10"/>
    <w:rsid w:val="0022410F"/>
    <w:rsid w:val="00225B09"/>
    <w:rsid w:val="002348B0"/>
    <w:rsid w:val="00250F56"/>
    <w:rsid w:val="00293308"/>
    <w:rsid w:val="002A030D"/>
    <w:rsid w:val="002A27A4"/>
    <w:rsid w:val="002B64AF"/>
    <w:rsid w:val="00354644"/>
    <w:rsid w:val="003A1296"/>
    <w:rsid w:val="003D208A"/>
    <w:rsid w:val="00420086"/>
    <w:rsid w:val="00422F10"/>
    <w:rsid w:val="0043689D"/>
    <w:rsid w:val="004530D1"/>
    <w:rsid w:val="00481035"/>
    <w:rsid w:val="004A629F"/>
    <w:rsid w:val="004C1C41"/>
    <w:rsid w:val="004C3D15"/>
    <w:rsid w:val="005237E5"/>
    <w:rsid w:val="005861AA"/>
    <w:rsid w:val="005906D1"/>
    <w:rsid w:val="00597988"/>
    <w:rsid w:val="005C16FC"/>
    <w:rsid w:val="005D2495"/>
    <w:rsid w:val="005F2E8E"/>
    <w:rsid w:val="00632821"/>
    <w:rsid w:val="00636CFD"/>
    <w:rsid w:val="006D210C"/>
    <w:rsid w:val="00755D86"/>
    <w:rsid w:val="0078494A"/>
    <w:rsid w:val="007B149C"/>
    <w:rsid w:val="007D08A3"/>
    <w:rsid w:val="008031B6"/>
    <w:rsid w:val="008B1658"/>
    <w:rsid w:val="00951B90"/>
    <w:rsid w:val="009850EB"/>
    <w:rsid w:val="009916BB"/>
    <w:rsid w:val="009A44EA"/>
    <w:rsid w:val="00A168AB"/>
    <w:rsid w:val="00AE6467"/>
    <w:rsid w:val="00AF43FA"/>
    <w:rsid w:val="00B97D18"/>
    <w:rsid w:val="00BB4C08"/>
    <w:rsid w:val="00C6158B"/>
    <w:rsid w:val="00C664F5"/>
    <w:rsid w:val="00C964B4"/>
    <w:rsid w:val="00CB56DD"/>
    <w:rsid w:val="00D72659"/>
    <w:rsid w:val="00D87587"/>
    <w:rsid w:val="00D92E19"/>
    <w:rsid w:val="00DE2E9B"/>
    <w:rsid w:val="00ED281B"/>
    <w:rsid w:val="00F02476"/>
    <w:rsid w:val="00F61765"/>
    <w:rsid w:val="00FB5550"/>
    <w:rsid w:val="00FC3CB4"/>
    <w:rsid w:val="00FD4B4D"/>
    <w:rsid w:val="00F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OAHeading">
    <w:name w:val="toa heading"/>
    <w:basedOn w:val="Normal"/>
    <w:next w:val="Normal"/>
    <w:semiHidden/>
    <w:rsid w:val="00250F56"/>
    <w:pPr>
      <w:widowControl w:val="0"/>
      <w:tabs>
        <w:tab w:val="right" w:pos="9360"/>
      </w:tabs>
      <w:suppressAutoHyphens/>
      <w:spacing w:after="0" w:line="240" w:lineRule="auto"/>
    </w:pPr>
    <w:rPr>
      <w:rFonts w:ascii="Arial" w:eastAsia="Times New Roman" w:hAnsi="Arial" w:cs="Times New Roman"/>
      <w:snapToGrid w:val="0"/>
      <w:sz w:val="20"/>
      <w:szCs w:val="20"/>
    </w:rPr>
  </w:style>
  <w:style w:type="table" w:styleId="TableGrid">
    <w:name w:val="Table Grid"/>
    <w:basedOn w:val="TableNormal"/>
    <w:uiPriority w:val="59"/>
    <w:rsid w:val="0025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OAHeading">
    <w:name w:val="toa heading"/>
    <w:basedOn w:val="Normal"/>
    <w:next w:val="Normal"/>
    <w:semiHidden/>
    <w:rsid w:val="00250F56"/>
    <w:pPr>
      <w:widowControl w:val="0"/>
      <w:tabs>
        <w:tab w:val="right" w:pos="9360"/>
      </w:tabs>
      <w:suppressAutoHyphens/>
      <w:spacing w:after="0" w:line="240" w:lineRule="auto"/>
    </w:pPr>
    <w:rPr>
      <w:rFonts w:ascii="Arial" w:eastAsia="Times New Roman" w:hAnsi="Arial" w:cs="Times New Roman"/>
      <w:snapToGrid w:val="0"/>
      <w:sz w:val="20"/>
      <w:szCs w:val="20"/>
    </w:rPr>
  </w:style>
  <w:style w:type="table" w:styleId="TableGrid">
    <w:name w:val="Table Grid"/>
    <w:basedOn w:val="TableNormal"/>
    <w:uiPriority w:val="59"/>
    <w:rsid w:val="0025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019">
      <w:bodyDiv w:val="1"/>
      <w:marLeft w:val="0"/>
      <w:marRight w:val="0"/>
      <w:marTop w:val="0"/>
      <w:marBottom w:val="0"/>
      <w:divBdr>
        <w:top w:val="none" w:sz="0" w:space="0" w:color="auto"/>
        <w:left w:val="none" w:sz="0" w:space="0" w:color="auto"/>
        <w:bottom w:val="none" w:sz="0" w:space="0" w:color="auto"/>
        <w:right w:val="none" w:sz="0" w:space="0" w:color="auto"/>
      </w:divBdr>
    </w:div>
    <w:div w:id="640231683">
      <w:bodyDiv w:val="1"/>
      <w:marLeft w:val="0"/>
      <w:marRight w:val="0"/>
      <w:marTop w:val="0"/>
      <w:marBottom w:val="0"/>
      <w:divBdr>
        <w:top w:val="none" w:sz="0" w:space="0" w:color="auto"/>
        <w:left w:val="none" w:sz="0" w:space="0" w:color="auto"/>
        <w:bottom w:val="none" w:sz="0" w:space="0" w:color="auto"/>
        <w:right w:val="none" w:sz="0" w:space="0" w:color="auto"/>
      </w:divBdr>
    </w:div>
    <w:div w:id="17459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2</cp:revision>
  <cp:lastPrinted>2012-09-27T19:01:00Z</cp:lastPrinted>
  <dcterms:created xsi:type="dcterms:W3CDTF">2015-10-29T17:48:00Z</dcterms:created>
  <dcterms:modified xsi:type="dcterms:W3CDTF">2015-10-29T17:48:00Z</dcterms:modified>
</cp:coreProperties>
</file>