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CE" w:rsidRDefault="003F75CE" w:rsidP="003F75CE">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F75CE" w:rsidRPr="00B81C69" w:rsidTr="009E640A">
        <w:tc>
          <w:tcPr>
            <w:tcW w:w="6588" w:type="dxa"/>
          </w:tcPr>
          <w:p w:rsidR="003F75CE" w:rsidRPr="00B81C69" w:rsidRDefault="003F75CE" w:rsidP="009E640A">
            <w:pPr>
              <w:rPr>
                <w:b/>
                <w:sz w:val="24"/>
                <w:szCs w:val="24"/>
              </w:rPr>
            </w:pPr>
            <w:r>
              <w:rPr>
                <w:noProof/>
              </w:rPr>
              <w:drawing>
                <wp:inline distT="0" distB="0" distL="0" distR="0" wp14:anchorId="214A1206" wp14:editId="31A22B86">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3F75CE" w:rsidRPr="00490115" w:rsidRDefault="003F75CE" w:rsidP="009E640A">
            <w:pPr>
              <w:jc w:val="right"/>
              <w:rPr>
                <w:b/>
                <w:sz w:val="36"/>
                <w:szCs w:val="36"/>
              </w:rPr>
            </w:pPr>
            <w:r w:rsidRPr="00490115">
              <w:rPr>
                <w:b/>
                <w:sz w:val="36"/>
                <w:szCs w:val="36"/>
              </w:rPr>
              <w:t>Goal Progress Report</w:t>
            </w:r>
          </w:p>
        </w:tc>
      </w:tr>
    </w:tbl>
    <w:p w:rsidR="003F75CE" w:rsidRPr="002A44E2" w:rsidRDefault="003F75CE" w:rsidP="003F75CE">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3F75CE" w:rsidRPr="00B81C69" w:rsidTr="009E640A">
        <w:tc>
          <w:tcPr>
            <w:tcW w:w="1291" w:type="dxa"/>
          </w:tcPr>
          <w:p w:rsidR="003F75CE" w:rsidRPr="00D554AC" w:rsidRDefault="003F75CE" w:rsidP="00B910CF">
            <w:pPr>
              <w:spacing w:after="0"/>
              <w:rPr>
                <w:b/>
                <w:sz w:val="28"/>
                <w:szCs w:val="28"/>
              </w:rPr>
            </w:pPr>
            <w:r w:rsidRPr="00D554AC">
              <w:rPr>
                <w:b/>
                <w:sz w:val="28"/>
                <w:szCs w:val="28"/>
              </w:rPr>
              <w:t>Program:</w:t>
            </w:r>
          </w:p>
        </w:tc>
        <w:tc>
          <w:tcPr>
            <w:tcW w:w="5207" w:type="dxa"/>
            <w:tcBorders>
              <w:bottom w:val="single" w:sz="6" w:space="0" w:color="auto"/>
            </w:tcBorders>
          </w:tcPr>
          <w:p w:rsidR="003F75CE" w:rsidRPr="00B81C69" w:rsidRDefault="00D06EBB" w:rsidP="00541793">
            <w:pPr>
              <w:spacing w:after="0"/>
              <w:rPr>
                <w:b/>
                <w:sz w:val="24"/>
                <w:szCs w:val="24"/>
              </w:rPr>
            </w:pPr>
            <w:r>
              <w:rPr>
                <w:b/>
                <w:sz w:val="24"/>
                <w:szCs w:val="24"/>
              </w:rPr>
              <w:t>Campus</w:t>
            </w:r>
            <w:r w:rsidR="00262DE6">
              <w:rPr>
                <w:b/>
                <w:sz w:val="24"/>
                <w:szCs w:val="24"/>
              </w:rPr>
              <w:t xml:space="preserve"> Services</w:t>
            </w:r>
          </w:p>
        </w:tc>
        <w:tc>
          <w:tcPr>
            <w:tcW w:w="2610" w:type="dxa"/>
          </w:tcPr>
          <w:p w:rsidR="003F75CE" w:rsidRPr="00D554AC" w:rsidRDefault="003F75CE" w:rsidP="00B910CF">
            <w:pPr>
              <w:spacing w:after="0"/>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rsidR="003F75CE" w:rsidRPr="00B81C69" w:rsidRDefault="00262DE6" w:rsidP="00D06EBB">
            <w:pPr>
              <w:spacing w:after="0"/>
              <w:rPr>
                <w:b/>
                <w:sz w:val="24"/>
                <w:szCs w:val="24"/>
              </w:rPr>
            </w:pPr>
            <w:r>
              <w:rPr>
                <w:b/>
                <w:sz w:val="24"/>
                <w:szCs w:val="24"/>
              </w:rPr>
              <w:t>201</w:t>
            </w:r>
            <w:r w:rsidR="00D06EBB">
              <w:rPr>
                <w:b/>
                <w:sz w:val="24"/>
                <w:szCs w:val="24"/>
              </w:rPr>
              <w:t>5</w:t>
            </w:r>
            <w:r w:rsidR="000A5AB6">
              <w:rPr>
                <w:b/>
                <w:sz w:val="24"/>
                <w:szCs w:val="24"/>
              </w:rPr>
              <w:t>-201</w:t>
            </w:r>
            <w:r w:rsidR="00D06EBB">
              <w:rPr>
                <w:b/>
                <w:sz w:val="24"/>
                <w:szCs w:val="24"/>
              </w:rPr>
              <w:t>6</w:t>
            </w:r>
          </w:p>
        </w:tc>
      </w:tr>
    </w:tbl>
    <w:p w:rsidR="003F75CE" w:rsidRDefault="003F75CE" w:rsidP="003F75CE">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3F75CE" w:rsidRPr="00D554AC" w:rsidTr="009E640A">
        <w:tc>
          <w:tcPr>
            <w:tcW w:w="13176" w:type="dxa"/>
            <w:gridSpan w:val="4"/>
            <w:tcBorders>
              <w:bottom w:val="single" w:sz="6" w:space="0" w:color="auto"/>
            </w:tcBorders>
            <w:shd w:val="clear" w:color="auto" w:fill="D9D9D9" w:themeFill="background1" w:themeFillShade="D9"/>
          </w:tcPr>
          <w:p w:rsidR="003F75CE" w:rsidRPr="00D554AC" w:rsidRDefault="003F75CE" w:rsidP="009E640A">
            <w:pPr>
              <w:jc w:val="center"/>
              <w:rPr>
                <w:b/>
                <w:sz w:val="32"/>
                <w:szCs w:val="32"/>
              </w:rPr>
            </w:pPr>
          </w:p>
        </w:tc>
      </w:tr>
      <w:tr w:rsidR="003F75CE" w:rsidRPr="00D554AC" w:rsidTr="009E640A">
        <w:trPr>
          <w:trHeight w:val="54"/>
        </w:trPr>
        <w:tc>
          <w:tcPr>
            <w:tcW w:w="3294" w:type="dxa"/>
            <w:tcBorders>
              <w:left w:val="single" w:sz="6" w:space="0" w:color="auto"/>
              <w:bottom w:val="double" w:sz="4" w:space="0" w:color="auto"/>
              <w:right w:val="single" w:sz="6" w:space="0" w:color="auto"/>
            </w:tcBorders>
          </w:tcPr>
          <w:p w:rsidR="003F75CE" w:rsidRPr="00490115" w:rsidRDefault="003F75CE" w:rsidP="009E640A">
            <w:pPr>
              <w:jc w:val="center"/>
              <w:rPr>
                <w:b/>
                <w:sz w:val="16"/>
                <w:szCs w:val="16"/>
              </w:rPr>
            </w:pPr>
          </w:p>
          <w:p w:rsidR="003F75CE" w:rsidRPr="00D554AC" w:rsidRDefault="003F75CE" w:rsidP="009E640A">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3F75CE" w:rsidRPr="00D554AC" w:rsidRDefault="003F75CE" w:rsidP="009E640A">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3F75CE" w:rsidRPr="00490115" w:rsidRDefault="003F75CE" w:rsidP="009E640A">
            <w:pPr>
              <w:jc w:val="center"/>
              <w:rPr>
                <w:b/>
                <w:sz w:val="16"/>
                <w:szCs w:val="16"/>
              </w:rPr>
            </w:pPr>
          </w:p>
          <w:p w:rsidR="003F75CE" w:rsidRPr="00D554AC" w:rsidRDefault="003F75CE" w:rsidP="009E640A">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3F75CE" w:rsidRPr="00D554AC" w:rsidRDefault="003F75CE" w:rsidP="009E640A">
            <w:pPr>
              <w:jc w:val="center"/>
              <w:rPr>
                <w:b/>
                <w:sz w:val="24"/>
                <w:szCs w:val="24"/>
              </w:rPr>
            </w:pPr>
            <w:r>
              <w:rPr>
                <w:b/>
                <w:sz w:val="24"/>
                <w:szCs w:val="24"/>
              </w:rPr>
              <w:t>Strategies Implemented &amp; Follow-up</w:t>
            </w:r>
          </w:p>
        </w:tc>
      </w:tr>
      <w:tr w:rsidR="003F75CE" w:rsidTr="009E640A">
        <w:trPr>
          <w:trHeight w:val="54"/>
        </w:trPr>
        <w:tc>
          <w:tcPr>
            <w:tcW w:w="3294" w:type="dxa"/>
            <w:tcBorders>
              <w:right w:val="single" w:sz="6" w:space="0" w:color="auto"/>
            </w:tcBorders>
          </w:tcPr>
          <w:p w:rsidR="003F75CE" w:rsidRDefault="000A5AB6" w:rsidP="00B910CF">
            <w:pPr>
              <w:spacing w:line="240" w:lineRule="auto"/>
            </w:pPr>
            <w:r>
              <w:rPr>
                <w:b/>
              </w:rPr>
              <w:t>Evaluate current copier leases and upgrade as necessary</w:t>
            </w:r>
          </w:p>
        </w:tc>
        <w:tc>
          <w:tcPr>
            <w:tcW w:w="3294" w:type="dxa"/>
            <w:tcBorders>
              <w:left w:val="single" w:sz="6" w:space="0" w:color="auto"/>
              <w:right w:val="single" w:sz="4" w:space="0" w:color="auto"/>
            </w:tcBorders>
          </w:tcPr>
          <w:p w:rsidR="00436723" w:rsidRPr="00E17BB0" w:rsidRDefault="00436723" w:rsidP="00436723">
            <w:pPr>
              <w:pStyle w:val="Default"/>
            </w:pPr>
            <w:r>
              <w:t>The copiers under lease that are used throughout the campus community must be evaluated and upgraded as needs dictate</w:t>
            </w:r>
            <w:r w:rsidRPr="00E17BB0">
              <w:t>.</w:t>
            </w:r>
          </w:p>
          <w:p w:rsidR="00262DE6" w:rsidRDefault="00262DE6" w:rsidP="00B910CF">
            <w:pPr>
              <w:spacing w:after="0" w:line="240" w:lineRule="auto"/>
              <w:rPr>
                <w:b/>
                <w:bCs/>
              </w:rPr>
            </w:pPr>
          </w:p>
          <w:p w:rsidR="003F75CE" w:rsidRDefault="00262DE6" w:rsidP="00D06EBB">
            <w:pPr>
              <w:spacing w:line="240" w:lineRule="auto"/>
            </w:pPr>
            <w:r w:rsidRPr="00E17BB0">
              <w:rPr>
                <w:b/>
                <w:bCs/>
              </w:rPr>
              <w:t>Estimated Cost</w:t>
            </w:r>
            <w:r w:rsidRPr="00E17BB0">
              <w:t>: $</w:t>
            </w:r>
            <w:r w:rsidR="00D06EBB">
              <w:t>5</w:t>
            </w:r>
            <w:r w:rsidRPr="00E17BB0">
              <w:t>,</w:t>
            </w:r>
            <w:r w:rsidR="00D06EBB">
              <w:t>0</w:t>
            </w:r>
            <w:r w:rsidRPr="00E17BB0">
              <w:t>00</w:t>
            </w:r>
          </w:p>
        </w:tc>
        <w:tc>
          <w:tcPr>
            <w:tcW w:w="3294" w:type="dxa"/>
            <w:tcBorders>
              <w:left w:val="single" w:sz="4" w:space="0" w:color="auto"/>
              <w:right w:val="single" w:sz="6" w:space="0" w:color="auto"/>
            </w:tcBorders>
          </w:tcPr>
          <w:p w:rsidR="00FA2022" w:rsidRDefault="00D06EBB" w:rsidP="00FA2022">
            <w:pPr>
              <w:spacing w:line="240" w:lineRule="auto"/>
            </w:pPr>
            <w:r>
              <w:t>This department upgraded two leased copiers based on the demands for the affected areas.</w:t>
            </w:r>
          </w:p>
          <w:p w:rsidR="00D06EBB" w:rsidRDefault="00D06EBB" w:rsidP="00FA2022">
            <w:pPr>
              <w:spacing w:line="240" w:lineRule="auto"/>
            </w:pPr>
            <w:r>
              <w:t>We continued to monitor the print services from the outside contractor and determined that no changes were needed.</w:t>
            </w:r>
          </w:p>
        </w:tc>
        <w:tc>
          <w:tcPr>
            <w:tcW w:w="3294" w:type="dxa"/>
            <w:tcBorders>
              <w:left w:val="single" w:sz="6" w:space="0" w:color="auto"/>
            </w:tcBorders>
          </w:tcPr>
          <w:p w:rsidR="002A1A6D" w:rsidRDefault="00706B7E" w:rsidP="00D06EBB">
            <w:pPr>
              <w:spacing w:line="240" w:lineRule="auto"/>
            </w:pPr>
            <w:r>
              <w:t>The unit will continue to monitor equipment</w:t>
            </w:r>
            <w:r w:rsidR="00D06EBB">
              <w:t xml:space="preserve"> and print</w:t>
            </w:r>
            <w:r>
              <w:t xml:space="preserve"> needs and adjust </w:t>
            </w:r>
            <w:r w:rsidR="00D06EBB">
              <w:t>services</w:t>
            </w:r>
            <w:r>
              <w:t xml:space="preserve"> as appropriate.</w:t>
            </w:r>
          </w:p>
        </w:tc>
      </w:tr>
      <w:tr w:rsidR="00541793" w:rsidTr="009E640A">
        <w:trPr>
          <w:trHeight w:val="54"/>
        </w:trPr>
        <w:tc>
          <w:tcPr>
            <w:tcW w:w="3294" w:type="dxa"/>
            <w:tcBorders>
              <w:right w:val="single" w:sz="6" w:space="0" w:color="auto"/>
            </w:tcBorders>
          </w:tcPr>
          <w:p w:rsidR="00541793" w:rsidRDefault="00D06EBB" w:rsidP="00B910CF">
            <w:pPr>
              <w:spacing w:line="240" w:lineRule="auto"/>
              <w:rPr>
                <w:b/>
              </w:rPr>
            </w:pPr>
            <w:r w:rsidRPr="00E17BB0">
              <w:rPr>
                <w:b/>
                <w:bCs/>
              </w:rPr>
              <w:t>Maintain continuing legal education requirements</w:t>
            </w:r>
          </w:p>
        </w:tc>
        <w:tc>
          <w:tcPr>
            <w:tcW w:w="3294" w:type="dxa"/>
            <w:tcBorders>
              <w:left w:val="single" w:sz="6" w:space="0" w:color="auto"/>
              <w:right w:val="single" w:sz="4" w:space="0" w:color="auto"/>
            </w:tcBorders>
          </w:tcPr>
          <w:p w:rsidR="00D06EBB" w:rsidRPr="00E17BB0" w:rsidRDefault="00D06EBB" w:rsidP="00D06EBB">
            <w:pPr>
              <w:pStyle w:val="Default"/>
              <w:rPr>
                <w:b/>
                <w:bCs/>
              </w:rPr>
            </w:pPr>
            <w:r w:rsidRPr="00E17BB0">
              <w:t>Historically, the unit dean has obtained continuing legal education credits required for licensure through the military at no cost to the college.  This arrangement will become increasingly difficult and may cease altogether, at which point funds might be needed for seminars or other methods of obtaining credit.</w:t>
            </w:r>
          </w:p>
          <w:p w:rsidR="00541793" w:rsidRDefault="00541793" w:rsidP="00541793">
            <w:pPr>
              <w:pStyle w:val="Default"/>
              <w:rPr>
                <w:b/>
                <w:bCs/>
              </w:rPr>
            </w:pPr>
          </w:p>
          <w:p w:rsidR="00541793" w:rsidRPr="00E17BB0" w:rsidRDefault="00541793" w:rsidP="00541793">
            <w:pPr>
              <w:pStyle w:val="Default"/>
            </w:pPr>
            <w:r w:rsidRPr="00E17BB0">
              <w:rPr>
                <w:b/>
                <w:bCs/>
              </w:rPr>
              <w:t>Estimated Cost</w:t>
            </w:r>
            <w:r w:rsidRPr="00E17BB0">
              <w:t xml:space="preserve">: </w:t>
            </w:r>
            <w:r>
              <w:t>$1,500</w:t>
            </w:r>
          </w:p>
          <w:p w:rsidR="00541793" w:rsidRPr="00E17BB0" w:rsidRDefault="00541793" w:rsidP="00B910CF">
            <w:pPr>
              <w:pStyle w:val="Default"/>
            </w:pPr>
          </w:p>
        </w:tc>
        <w:tc>
          <w:tcPr>
            <w:tcW w:w="3294" w:type="dxa"/>
            <w:tcBorders>
              <w:left w:val="single" w:sz="4" w:space="0" w:color="auto"/>
              <w:right w:val="single" w:sz="6" w:space="0" w:color="auto"/>
            </w:tcBorders>
          </w:tcPr>
          <w:p w:rsidR="00541793" w:rsidRDefault="00D06EBB" w:rsidP="002A1A6D">
            <w:pPr>
              <w:spacing w:after="0" w:line="240" w:lineRule="auto"/>
            </w:pPr>
            <w:r>
              <w:lastRenderedPageBreak/>
              <w:t>The dean has been able to maintain current licensure without requiring the use of college resources.</w:t>
            </w:r>
          </w:p>
        </w:tc>
        <w:tc>
          <w:tcPr>
            <w:tcW w:w="3294" w:type="dxa"/>
            <w:tcBorders>
              <w:left w:val="single" w:sz="6" w:space="0" w:color="auto"/>
            </w:tcBorders>
          </w:tcPr>
          <w:p w:rsidR="00541793" w:rsidRDefault="00D06EBB" w:rsidP="002A1A6D">
            <w:pPr>
              <w:spacing w:line="240" w:lineRule="auto"/>
            </w:pPr>
            <w:r>
              <w:t>The dean will continue to seek opportunities to maintain currency and rely on college resources as required.</w:t>
            </w:r>
          </w:p>
        </w:tc>
      </w:tr>
      <w:tr w:rsidR="000A5AB6" w:rsidTr="009E640A">
        <w:trPr>
          <w:trHeight w:val="54"/>
        </w:trPr>
        <w:tc>
          <w:tcPr>
            <w:tcW w:w="3294" w:type="dxa"/>
            <w:tcBorders>
              <w:right w:val="single" w:sz="6" w:space="0" w:color="auto"/>
            </w:tcBorders>
          </w:tcPr>
          <w:p w:rsidR="000A5AB6" w:rsidRDefault="00D06EBB" w:rsidP="00B910CF">
            <w:pPr>
              <w:spacing w:line="240" w:lineRule="auto"/>
              <w:rPr>
                <w:b/>
              </w:rPr>
            </w:pPr>
            <w:r w:rsidRPr="00E17BB0">
              <w:rPr>
                <w:b/>
              </w:rPr>
              <w:lastRenderedPageBreak/>
              <w:t>Maintain appropriate levels of insurance commensurate with anticipated risk</w:t>
            </w:r>
          </w:p>
        </w:tc>
        <w:tc>
          <w:tcPr>
            <w:tcW w:w="3294" w:type="dxa"/>
            <w:tcBorders>
              <w:left w:val="single" w:sz="6" w:space="0" w:color="auto"/>
              <w:right w:val="single" w:sz="4" w:space="0" w:color="auto"/>
            </w:tcBorders>
          </w:tcPr>
          <w:p w:rsidR="00D06EBB" w:rsidRPr="00E17BB0" w:rsidRDefault="00D06EBB" w:rsidP="00D06EBB">
            <w:pPr>
              <w:pStyle w:val="Default"/>
            </w:pPr>
            <w:r w:rsidRPr="00E17BB0">
              <w:t>Review policies and limits for appropriate insurance coverage and maintain coverage as warranted.</w:t>
            </w:r>
          </w:p>
          <w:p w:rsidR="00436723" w:rsidRDefault="00436723" w:rsidP="00436723">
            <w:pPr>
              <w:pStyle w:val="Default"/>
              <w:rPr>
                <w:b/>
                <w:bCs/>
              </w:rPr>
            </w:pPr>
          </w:p>
          <w:p w:rsidR="00436723" w:rsidRPr="00E17BB0" w:rsidRDefault="00436723" w:rsidP="00436723">
            <w:pPr>
              <w:pStyle w:val="Default"/>
            </w:pPr>
            <w:r w:rsidRPr="00E17BB0">
              <w:rPr>
                <w:b/>
                <w:bCs/>
              </w:rPr>
              <w:t>Estimated Cost</w:t>
            </w:r>
            <w:r w:rsidRPr="00E17BB0">
              <w:t xml:space="preserve">: </w:t>
            </w:r>
            <w:r>
              <w:t>$</w:t>
            </w:r>
            <w:r w:rsidR="00D06EBB">
              <w:t>8</w:t>
            </w:r>
            <w:r>
              <w:t>0,000</w:t>
            </w:r>
          </w:p>
          <w:p w:rsidR="000A5AB6" w:rsidRDefault="000A5AB6" w:rsidP="000A5AB6">
            <w:pPr>
              <w:pStyle w:val="Default"/>
            </w:pPr>
          </w:p>
        </w:tc>
        <w:tc>
          <w:tcPr>
            <w:tcW w:w="3294" w:type="dxa"/>
            <w:tcBorders>
              <w:left w:val="single" w:sz="4" w:space="0" w:color="auto"/>
              <w:right w:val="single" w:sz="6" w:space="0" w:color="auto"/>
            </w:tcBorders>
          </w:tcPr>
          <w:p w:rsidR="000A5AB6" w:rsidRDefault="00D06EBB" w:rsidP="00F80A5D">
            <w:pPr>
              <w:spacing w:after="0" w:line="240" w:lineRule="auto"/>
            </w:pPr>
            <w:r>
              <w:t>We procured general liability, automobile and commercial risk insurance as required. We were able to eliminate the separate liability policy for the police department as that risk is now insured by the general liability policy.</w:t>
            </w:r>
          </w:p>
        </w:tc>
        <w:tc>
          <w:tcPr>
            <w:tcW w:w="3294" w:type="dxa"/>
            <w:tcBorders>
              <w:left w:val="single" w:sz="6" w:space="0" w:color="auto"/>
            </w:tcBorders>
          </w:tcPr>
          <w:p w:rsidR="000A5AB6" w:rsidRDefault="00D06EBB" w:rsidP="00C721E4">
            <w:pPr>
              <w:spacing w:line="240" w:lineRule="auto"/>
            </w:pPr>
            <w:r>
              <w:t>We will continue to monitor risks and procure insurance as appropriate.</w:t>
            </w:r>
          </w:p>
        </w:tc>
      </w:tr>
      <w:tr w:rsidR="008356FA" w:rsidTr="009E640A">
        <w:trPr>
          <w:trHeight w:val="54"/>
        </w:trPr>
        <w:tc>
          <w:tcPr>
            <w:tcW w:w="3294" w:type="dxa"/>
            <w:tcBorders>
              <w:right w:val="single" w:sz="6" w:space="0" w:color="auto"/>
            </w:tcBorders>
          </w:tcPr>
          <w:p w:rsidR="008356FA" w:rsidRDefault="00D06EBB" w:rsidP="00B910CF">
            <w:pPr>
              <w:spacing w:line="240" w:lineRule="auto"/>
              <w:rPr>
                <w:b/>
                <w:bCs/>
              </w:rPr>
            </w:pPr>
            <w:r w:rsidRPr="00E17BB0">
              <w:rPr>
                <w:b/>
              </w:rPr>
              <w:t xml:space="preserve">Develop legal training program for </w:t>
            </w:r>
            <w:r>
              <w:rPr>
                <w:b/>
              </w:rPr>
              <w:t>FERPA</w:t>
            </w:r>
            <w:r w:rsidRPr="00E17BB0">
              <w:rPr>
                <w:b/>
              </w:rPr>
              <w:t xml:space="preserve"> compliance</w:t>
            </w:r>
            <w:r>
              <w:rPr>
                <w:b/>
                <w:bCs/>
              </w:rPr>
              <w:t xml:space="preserve"> </w:t>
            </w:r>
          </w:p>
        </w:tc>
        <w:tc>
          <w:tcPr>
            <w:tcW w:w="3294" w:type="dxa"/>
            <w:tcBorders>
              <w:left w:val="single" w:sz="6" w:space="0" w:color="auto"/>
              <w:right w:val="single" w:sz="4" w:space="0" w:color="auto"/>
            </w:tcBorders>
          </w:tcPr>
          <w:p w:rsidR="008356FA" w:rsidRDefault="00D06EBB" w:rsidP="005A14FC">
            <w:pPr>
              <w:pStyle w:val="Default"/>
            </w:pPr>
            <w:r>
              <w:t>The college has not placed as much emphasis on FERPA training as in years past and instead has relied on OJT for new employees. D</w:t>
            </w:r>
            <w:r w:rsidRPr="00E17BB0">
              <w:t>evelop</w:t>
            </w:r>
            <w:r>
              <w:t>ing</w:t>
            </w:r>
            <w:r w:rsidRPr="00E17BB0">
              <w:t xml:space="preserve"> an online training program for complying with </w:t>
            </w:r>
            <w:r w:rsidR="005A14FC">
              <w:t xml:space="preserve">FERPA will enable more systematic training for all employees. </w:t>
            </w:r>
          </w:p>
        </w:tc>
        <w:tc>
          <w:tcPr>
            <w:tcW w:w="3294" w:type="dxa"/>
            <w:tcBorders>
              <w:left w:val="single" w:sz="4" w:space="0" w:color="auto"/>
              <w:right w:val="single" w:sz="6" w:space="0" w:color="auto"/>
            </w:tcBorders>
          </w:tcPr>
          <w:p w:rsidR="008356FA" w:rsidRDefault="005A14FC" w:rsidP="00F80A5D">
            <w:pPr>
              <w:spacing w:after="0" w:line="240" w:lineRule="auto"/>
            </w:pPr>
            <w:r>
              <w:t>We were not able to develop an online program but are in discussion with outside vendors to incorporate this training into current offerings</w:t>
            </w:r>
            <w:r w:rsidR="008356FA">
              <w:t>.</w:t>
            </w:r>
          </w:p>
        </w:tc>
        <w:tc>
          <w:tcPr>
            <w:tcW w:w="3294" w:type="dxa"/>
            <w:tcBorders>
              <w:left w:val="single" w:sz="6" w:space="0" w:color="auto"/>
            </w:tcBorders>
          </w:tcPr>
          <w:p w:rsidR="008356FA" w:rsidRDefault="005A14FC" w:rsidP="00C721E4">
            <w:pPr>
              <w:spacing w:line="240" w:lineRule="auto"/>
            </w:pPr>
            <w:r>
              <w:t>We will develop or procure FERPA training in the next academic year.</w:t>
            </w:r>
            <w:r w:rsidR="00BC092B">
              <w:t xml:space="preserve"> There will likely be a cost associated with this objective.</w:t>
            </w:r>
            <w:bookmarkStart w:id="0" w:name="_GoBack"/>
            <w:bookmarkEnd w:id="0"/>
          </w:p>
        </w:tc>
      </w:tr>
      <w:tr w:rsidR="009C3316" w:rsidTr="009E640A">
        <w:trPr>
          <w:trHeight w:val="54"/>
        </w:trPr>
        <w:tc>
          <w:tcPr>
            <w:tcW w:w="3294" w:type="dxa"/>
            <w:tcBorders>
              <w:right w:val="single" w:sz="6" w:space="0" w:color="auto"/>
            </w:tcBorders>
          </w:tcPr>
          <w:p w:rsidR="009C3316" w:rsidRDefault="009C3316" w:rsidP="00B910CF">
            <w:pPr>
              <w:spacing w:line="240" w:lineRule="auto"/>
              <w:rPr>
                <w:b/>
                <w:bCs/>
              </w:rPr>
            </w:pPr>
          </w:p>
        </w:tc>
        <w:tc>
          <w:tcPr>
            <w:tcW w:w="3294" w:type="dxa"/>
            <w:tcBorders>
              <w:left w:val="single" w:sz="6" w:space="0" w:color="auto"/>
              <w:right w:val="single" w:sz="4" w:space="0" w:color="auto"/>
            </w:tcBorders>
          </w:tcPr>
          <w:p w:rsidR="00353AEF" w:rsidRPr="00353AEF" w:rsidRDefault="00353AEF" w:rsidP="00436723">
            <w:pPr>
              <w:pStyle w:val="Default"/>
              <w:rPr>
                <w:b/>
              </w:rPr>
            </w:pPr>
          </w:p>
        </w:tc>
        <w:tc>
          <w:tcPr>
            <w:tcW w:w="3294" w:type="dxa"/>
            <w:tcBorders>
              <w:left w:val="single" w:sz="4" w:space="0" w:color="auto"/>
              <w:right w:val="single" w:sz="6" w:space="0" w:color="auto"/>
            </w:tcBorders>
          </w:tcPr>
          <w:p w:rsidR="009C3316" w:rsidRDefault="009C3316" w:rsidP="00F80A5D">
            <w:pPr>
              <w:spacing w:after="0" w:line="240" w:lineRule="auto"/>
            </w:pPr>
          </w:p>
        </w:tc>
        <w:tc>
          <w:tcPr>
            <w:tcW w:w="3294" w:type="dxa"/>
            <w:tcBorders>
              <w:left w:val="single" w:sz="6" w:space="0" w:color="auto"/>
            </w:tcBorders>
          </w:tcPr>
          <w:p w:rsidR="009C3316" w:rsidRDefault="009C3316" w:rsidP="008356FA">
            <w:pPr>
              <w:spacing w:line="240" w:lineRule="auto"/>
            </w:pPr>
          </w:p>
        </w:tc>
      </w:tr>
      <w:tr w:rsidR="003F75CE" w:rsidTr="009E640A">
        <w:tc>
          <w:tcPr>
            <w:tcW w:w="6588" w:type="dxa"/>
            <w:gridSpan w:val="2"/>
            <w:tcBorders>
              <w:right w:val="single" w:sz="4" w:space="0" w:color="auto"/>
            </w:tcBorders>
          </w:tcPr>
          <w:p w:rsidR="003F75CE" w:rsidRPr="002A44E2" w:rsidRDefault="003F75CE" w:rsidP="009E640A">
            <w:pPr>
              <w:rPr>
                <w:sz w:val="12"/>
                <w:szCs w:val="12"/>
              </w:rPr>
            </w:pPr>
          </w:p>
          <w:p w:rsidR="003F75CE" w:rsidRPr="002A44E2" w:rsidRDefault="003F75CE" w:rsidP="009E640A">
            <w:pPr>
              <w:rPr>
                <w:b/>
                <w:sz w:val="12"/>
                <w:szCs w:val="12"/>
              </w:rPr>
            </w:pPr>
          </w:p>
          <w:p w:rsidR="003F75CE" w:rsidRDefault="003F75CE" w:rsidP="005A14FC">
            <w:r>
              <w:rPr>
                <w:b/>
              </w:rPr>
              <w:t>S</w:t>
            </w:r>
            <w:r w:rsidRPr="00D554AC">
              <w:rPr>
                <w:b/>
              </w:rPr>
              <w:t>ubmission date:</w:t>
            </w:r>
            <w:r w:rsidR="00650C07">
              <w:rPr>
                <w:b/>
              </w:rPr>
              <w:t xml:space="preserve"> August </w:t>
            </w:r>
            <w:r w:rsidR="005A14FC">
              <w:rPr>
                <w:b/>
              </w:rPr>
              <w:t>31, 2016</w:t>
            </w:r>
          </w:p>
        </w:tc>
        <w:tc>
          <w:tcPr>
            <w:tcW w:w="6588" w:type="dxa"/>
            <w:gridSpan w:val="2"/>
            <w:tcBorders>
              <w:left w:val="single" w:sz="4" w:space="0" w:color="auto"/>
            </w:tcBorders>
          </w:tcPr>
          <w:p w:rsidR="003F75CE" w:rsidRPr="00490115" w:rsidRDefault="003F75CE" w:rsidP="009E640A">
            <w:pPr>
              <w:rPr>
                <w:sz w:val="12"/>
                <w:szCs w:val="12"/>
              </w:rPr>
            </w:pPr>
          </w:p>
          <w:p w:rsidR="003F75CE" w:rsidRPr="00490115" w:rsidRDefault="003F75CE" w:rsidP="009E640A">
            <w:pPr>
              <w:rPr>
                <w:sz w:val="12"/>
                <w:szCs w:val="12"/>
              </w:rPr>
            </w:pPr>
          </w:p>
          <w:p w:rsidR="003F75CE" w:rsidRPr="002A44E2" w:rsidRDefault="003F75CE" w:rsidP="003F75CE">
            <w:pPr>
              <w:rPr>
                <w:b/>
                <w:sz w:val="8"/>
                <w:szCs w:val="8"/>
              </w:rPr>
            </w:pPr>
            <w:r w:rsidRPr="00102B7D">
              <w:rPr>
                <w:b/>
              </w:rPr>
              <w:t>Submitted by:</w:t>
            </w:r>
            <w:r w:rsidR="00AE48EA">
              <w:rPr>
                <w:b/>
              </w:rPr>
              <w:t xml:space="preserve"> Keith Brown</w:t>
            </w:r>
          </w:p>
        </w:tc>
      </w:tr>
    </w:tbl>
    <w:p w:rsidR="007A3859" w:rsidRDefault="007A3859" w:rsidP="003F75CE"/>
    <w:sectPr w:rsidR="007A3859" w:rsidSect="003F75CE">
      <w:footerReference w:type="default" r:id="rId9"/>
      <w:pgSz w:w="15840" w:h="12240" w:orient="landscape"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34" w:rsidRDefault="00660234" w:rsidP="003F75CE">
      <w:pPr>
        <w:spacing w:after="0" w:line="240" w:lineRule="auto"/>
      </w:pPr>
      <w:r>
        <w:separator/>
      </w:r>
    </w:p>
  </w:endnote>
  <w:endnote w:type="continuationSeparator" w:id="0">
    <w:p w:rsidR="00660234" w:rsidRDefault="00660234" w:rsidP="003F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32" w:rsidRDefault="00E6227C" w:rsidP="003F75CE">
    <w:pPr>
      <w:pStyle w:val="Footer"/>
      <w:jc w:val="right"/>
    </w:pPr>
    <w:r>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34" w:rsidRDefault="00660234" w:rsidP="003F75CE">
      <w:pPr>
        <w:spacing w:after="0" w:line="240" w:lineRule="auto"/>
      </w:pPr>
      <w:r>
        <w:separator/>
      </w:r>
    </w:p>
  </w:footnote>
  <w:footnote w:type="continuationSeparator" w:id="0">
    <w:p w:rsidR="00660234" w:rsidRDefault="00660234" w:rsidP="003F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CE"/>
    <w:rsid w:val="00021109"/>
    <w:rsid w:val="000A5AB6"/>
    <w:rsid w:val="001645F0"/>
    <w:rsid w:val="00194842"/>
    <w:rsid w:val="001E0351"/>
    <w:rsid w:val="00224D18"/>
    <w:rsid w:val="00262DE6"/>
    <w:rsid w:val="002A1A6D"/>
    <w:rsid w:val="00353AEF"/>
    <w:rsid w:val="00357E39"/>
    <w:rsid w:val="00367FF2"/>
    <w:rsid w:val="00394DF4"/>
    <w:rsid w:val="003C74C5"/>
    <w:rsid w:val="003F75CE"/>
    <w:rsid w:val="00436723"/>
    <w:rsid w:val="00541793"/>
    <w:rsid w:val="005A14FC"/>
    <w:rsid w:val="006075E6"/>
    <w:rsid w:val="00650C07"/>
    <w:rsid w:val="00651D49"/>
    <w:rsid w:val="00660234"/>
    <w:rsid w:val="006611EE"/>
    <w:rsid w:val="00674C23"/>
    <w:rsid w:val="00695FFA"/>
    <w:rsid w:val="00706B7E"/>
    <w:rsid w:val="007354CE"/>
    <w:rsid w:val="007A3859"/>
    <w:rsid w:val="008356FA"/>
    <w:rsid w:val="00845B07"/>
    <w:rsid w:val="008605D3"/>
    <w:rsid w:val="00885DEA"/>
    <w:rsid w:val="009C3316"/>
    <w:rsid w:val="00A07973"/>
    <w:rsid w:val="00A160DE"/>
    <w:rsid w:val="00A53A0A"/>
    <w:rsid w:val="00AD7F8D"/>
    <w:rsid w:val="00AE48EA"/>
    <w:rsid w:val="00B4492B"/>
    <w:rsid w:val="00B910CF"/>
    <w:rsid w:val="00BC092B"/>
    <w:rsid w:val="00BF59A9"/>
    <w:rsid w:val="00C024E6"/>
    <w:rsid w:val="00C721E4"/>
    <w:rsid w:val="00D06EBB"/>
    <w:rsid w:val="00E6227C"/>
    <w:rsid w:val="00ED58BC"/>
    <w:rsid w:val="00F80A5D"/>
    <w:rsid w:val="00F971B3"/>
    <w:rsid w:val="00FA1CCE"/>
    <w:rsid w:val="00FA2022"/>
    <w:rsid w:val="00FA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5C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C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F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CE"/>
    <w:rPr>
      <w:rFonts w:asciiTheme="minorHAnsi" w:eastAsiaTheme="minorEastAsia" w:hAnsiTheme="minorHAnsi" w:cstheme="minorBidi"/>
      <w:sz w:val="22"/>
      <w:szCs w:val="22"/>
    </w:rPr>
  </w:style>
  <w:style w:type="paragraph" w:customStyle="1" w:styleId="Default">
    <w:name w:val="Default"/>
    <w:rsid w:val="00262DE6"/>
    <w:pPr>
      <w:autoSpaceDE w:val="0"/>
      <w:autoSpaceDN w:val="0"/>
      <w:adjustRightInd w:val="0"/>
    </w:pPr>
    <w:rPr>
      <w:color w:val="000000"/>
    </w:rPr>
  </w:style>
  <w:style w:type="paragraph" w:styleId="BalloonText">
    <w:name w:val="Balloon Text"/>
    <w:basedOn w:val="Normal"/>
    <w:link w:val="BalloonTextChar"/>
    <w:uiPriority w:val="99"/>
    <w:semiHidden/>
    <w:unhideWhenUsed/>
    <w:rsid w:val="0069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F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5C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C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F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CE"/>
    <w:rPr>
      <w:rFonts w:asciiTheme="minorHAnsi" w:eastAsiaTheme="minorEastAsia" w:hAnsiTheme="minorHAnsi" w:cstheme="minorBidi"/>
      <w:sz w:val="22"/>
      <w:szCs w:val="22"/>
    </w:rPr>
  </w:style>
  <w:style w:type="paragraph" w:customStyle="1" w:styleId="Default">
    <w:name w:val="Default"/>
    <w:rsid w:val="00262DE6"/>
    <w:pPr>
      <w:autoSpaceDE w:val="0"/>
      <w:autoSpaceDN w:val="0"/>
      <w:adjustRightInd w:val="0"/>
    </w:pPr>
    <w:rPr>
      <w:color w:val="000000"/>
    </w:rPr>
  </w:style>
  <w:style w:type="paragraph" w:styleId="BalloonText">
    <w:name w:val="Balloon Text"/>
    <w:basedOn w:val="Normal"/>
    <w:link w:val="BalloonTextChar"/>
    <w:uiPriority w:val="99"/>
    <w:semiHidden/>
    <w:unhideWhenUsed/>
    <w:rsid w:val="0069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F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925">
      <w:bodyDiv w:val="1"/>
      <w:marLeft w:val="0"/>
      <w:marRight w:val="0"/>
      <w:marTop w:val="0"/>
      <w:marBottom w:val="0"/>
      <w:divBdr>
        <w:top w:val="none" w:sz="0" w:space="0" w:color="auto"/>
        <w:left w:val="none" w:sz="0" w:space="0" w:color="auto"/>
        <w:bottom w:val="none" w:sz="0" w:space="0" w:color="auto"/>
        <w:right w:val="none" w:sz="0" w:space="0" w:color="auto"/>
      </w:divBdr>
    </w:div>
    <w:div w:id="2022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396D-FE77-4245-8226-FD687E03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Brown</dc:creator>
  <cp:lastModifiedBy>Keith Brown</cp:lastModifiedBy>
  <cp:revision>4</cp:revision>
  <dcterms:created xsi:type="dcterms:W3CDTF">2016-08-31T12:55:00Z</dcterms:created>
  <dcterms:modified xsi:type="dcterms:W3CDTF">2016-08-31T13:08:00Z</dcterms:modified>
</cp:coreProperties>
</file>