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7469872C" w14:textId="77777777" w:rsidTr="002B6B2E">
        <w:trPr>
          <w:gridAfter w:val="1"/>
          <w:wAfter w:w="13" w:type="dxa"/>
          <w:trHeight w:val="1170"/>
        </w:trPr>
        <w:tc>
          <w:tcPr>
            <w:tcW w:w="6588" w:type="dxa"/>
            <w:gridSpan w:val="3"/>
          </w:tcPr>
          <w:p w14:paraId="4D8A091B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CCA2F4D" wp14:editId="238594EF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438C3211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4CF4EE2D" w14:textId="77777777" w:rsidTr="008A060F">
        <w:tc>
          <w:tcPr>
            <w:tcW w:w="1291" w:type="dxa"/>
          </w:tcPr>
          <w:p w14:paraId="5629CC3E" w14:textId="77777777" w:rsidR="00E46427" w:rsidRDefault="00E46427" w:rsidP="007B0814">
            <w:pPr>
              <w:rPr>
                <w:b/>
                <w:sz w:val="28"/>
                <w:szCs w:val="28"/>
              </w:rPr>
            </w:pPr>
          </w:p>
          <w:p w14:paraId="725B1C69" w14:textId="77777777" w:rsidR="00E46427" w:rsidRDefault="00E46427" w:rsidP="007B0814">
            <w:pPr>
              <w:rPr>
                <w:b/>
                <w:sz w:val="28"/>
                <w:szCs w:val="28"/>
              </w:rPr>
            </w:pPr>
          </w:p>
          <w:p w14:paraId="539307D9" w14:textId="77777777" w:rsidR="00434420" w:rsidRDefault="00434420" w:rsidP="007B0814">
            <w:pPr>
              <w:rPr>
                <w:b/>
                <w:sz w:val="28"/>
                <w:szCs w:val="28"/>
              </w:rPr>
            </w:pPr>
          </w:p>
          <w:p w14:paraId="72DF33C0" w14:textId="53FAB232" w:rsidR="00F26A57" w:rsidRPr="008A060F" w:rsidRDefault="00F26A57" w:rsidP="007B0814">
            <w:pPr>
              <w:rPr>
                <w:b/>
                <w:sz w:val="28"/>
                <w:szCs w:val="28"/>
                <w:u w:val="single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5987057" w14:textId="77777777" w:rsidR="004F3BD7" w:rsidRDefault="004F3BD7" w:rsidP="007B0814">
            <w:pPr>
              <w:rPr>
                <w:b/>
                <w:sz w:val="24"/>
                <w:szCs w:val="24"/>
              </w:rPr>
            </w:pPr>
          </w:p>
          <w:p w14:paraId="79BFB7C8" w14:textId="77777777" w:rsidR="004F3BD7" w:rsidRDefault="004F3BD7" w:rsidP="007B0814">
            <w:pPr>
              <w:rPr>
                <w:b/>
                <w:sz w:val="24"/>
                <w:szCs w:val="24"/>
              </w:rPr>
            </w:pPr>
          </w:p>
          <w:p w14:paraId="28049CA8" w14:textId="77777777" w:rsidR="00434420" w:rsidRDefault="00434420" w:rsidP="007B0814">
            <w:pPr>
              <w:rPr>
                <w:b/>
                <w:sz w:val="24"/>
                <w:szCs w:val="24"/>
              </w:rPr>
            </w:pPr>
          </w:p>
          <w:p w14:paraId="77D1386B" w14:textId="055EFC60" w:rsidR="00F26A57" w:rsidRPr="00B81C69" w:rsidRDefault="004F3BD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Laboratory Technology</w:t>
            </w:r>
          </w:p>
        </w:tc>
        <w:tc>
          <w:tcPr>
            <w:tcW w:w="2610" w:type="dxa"/>
            <w:gridSpan w:val="2"/>
          </w:tcPr>
          <w:p w14:paraId="306E61D3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15ABA65C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3808D4DA" w14:textId="77777777" w:rsidR="00BA56DB" w:rsidRDefault="00BA56DB" w:rsidP="007B0814">
            <w:pPr>
              <w:rPr>
                <w:b/>
                <w:sz w:val="28"/>
                <w:szCs w:val="28"/>
              </w:rPr>
            </w:pPr>
          </w:p>
          <w:p w14:paraId="7519CE91" w14:textId="1C34FE34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1D70A38F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6E33C108" w14:textId="77777777" w:rsidR="00E70C73" w:rsidRDefault="00E70C73" w:rsidP="007B0814">
            <w:pPr>
              <w:rPr>
                <w:b/>
                <w:sz w:val="24"/>
                <w:szCs w:val="24"/>
              </w:rPr>
            </w:pPr>
          </w:p>
          <w:p w14:paraId="6A55209F" w14:textId="77777777" w:rsidR="00BA56DB" w:rsidRDefault="00BA56DB" w:rsidP="007B0814">
            <w:pPr>
              <w:rPr>
                <w:b/>
                <w:sz w:val="24"/>
                <w:szCs w:val="24"/>
              </w:rPr>
            </w:pPr>
          </w:p>
          <w:p w14:paraId="7A1684E3" w14:textId="45DA7F5E" w:rsidR="00E70C73" w:rsidRPr="00B81C69" w:rsidRDefault="00E70C73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</w:tr>
    </w:tbl>
    <w:p w14:paraId="6B621BF9" w14:textId="3EB20C04" w:rsidR="004C7EB5" w:rsidRDefault="004F3BD7">
      <w:r>
        <w:t xml:space="preserve">                           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6"/>
        <w:gridCol w:w="3267"/>
        <w:gridCol w:w="3217"/>
        <w:gridCol w:w="3234"/>
      </w:tblGrid>
      <w:tr w:rsidR="00F26A57" w:rsidRPr="00D554AC" w14:paraId="52B73C98" w14:textId="77777777" w:rsidTr="0038398C">
        <w:tc>
          <w:tcPr>
            <w:tcW w:w="12944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DD80151" w14:textId="35B46B26" w:rsidR="00F26A57" w:rsidRPr="00D554AC" w:rsidRDefault="00E70C73" w:rsidP="007B08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has your unit accomplished from the goals you proposed in the first year of your most recent Strategic Plan? </w:t>
            </w:r>
          </w:p>
        </w:tc>
      </w:tr>
      <w:tr w:rsidR="00F26A57" w:rsidRPr="00D554AC" w14:paraId="219BD32E" w14:textId="77777777" w:rsidTr="0038398C">
        <w:trPr>
          <w:trHeight w:val="54"/>
        </w:trPr>
        <w:tc>
          <w:tcPr>
            <w:tcW w:w="322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9C6796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D3ED390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67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2E470EA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17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77093617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76CF70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3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6A4CDBDE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14:paraId="421893C3" w14:textId="77777777" w:rsidTr="0038398C">
        <w:trPr>
          <w:trHeight w:val="54"/>
        </w:trPr>
        <w:tc>
          <w:tcPr>
            <w:tcW w:w="3226" w:type="dxa"/>
            <w:tcBorders>
              <w:top w:val="thinThickSmallGap" w:sz="12" w:space="0" w:color="auto"/>
              <w:right w:val="single" w:sz="6" w:space="0" w:color="auto"/>
            </w:tcBorders>
          </w:tcPr>
          <w:p w14:paraId="42A22F7D" w14:textId="77777777" w:rsidR="00117665" w:rsidRPr="00FE6797" w:rsidRDefault="00117665" w:rsidP="00117665">
            <w:r>
              <w:t>Provide necessary equipment and reagents to teach entry level skills keeping abreast with new technology.</w:t>
            </w:r>
          </w:p>
          <w:p w14:paraId="6304B0CA" w14:textId="77777777" w:rsidR="00117665" w:rsidRPr="005F2E8E" w:rsidRDefault="00117665" w:rsidP="00117665">
            <w:pPr>
              <w:rPr>
                <w:b/>
              </w:rPr>
            </w:pPr>
            <w:r w:rsidRPr="005F2E8E">
              <w:rPr>
                <w:b/>
              </w:rPr>
              <w:t>Program Outcome</w:t>
            </w:r>
          </w:p>
          <w:p w14:paraId="45FF222E" w14:textId="77777777" w:rsidR="00117665" w:rsidRDefault="00117665" w:rsidP="00117665">
            <w:r>
              <w:t>#1. 70% of students admitted to the MLT program will complete as technically competent individuals ready to enter the laboratory workforce</w:t>
            </w:r>
          </w:p>
          <w:p w14:paraId="67CF0EA8" w14:textId="77777777" w:rsidR="00117665" w:rsidRPr="000307C2" w:rsidRDefault="00117665" w:rsidP="00117665">
            <w:r w:rsidRPr="000307C2">
              <w:rPr>
                <w:b/>
                <w:bCs/>
              </w:rPr>
              <w:t>NAACLS Standard III.C. Physical Resources</w:t>
            </w:r>
            <w:r>
              <w:rPr>
                <w:b/>
                <w:bCs/>
              </w:rPr>
              <w:t xml:space="preserve">: </w:t>
            </w:r>
            <w:r>
              <w:t>Physical resources such as facilities, equipment and supplies, information resources and instructional resources sufficient to achieve program goals.</w:t>
            </w:r>
          </w:p>
          <w:p w14:paraId="0D723BF8" w14:textId="77777777" w:rsidR="00117665" w:rsidRDefault="00117665" w:rsidP="00117665">
            <w:pPr>
              <w:rPr>
                <w:b/>
                <w:bCs/>
              </w:rPr>
            </w:pPr>
            <w:r>
              <w:rPr>
                <w:b/>
                <w:bCs/>
              </w:rPr>
              <w:t>College Action Priority 4</w:t>
            </w:r>
          </w:p>
          <w:p w14:paraId="72735303" w14:textId="77777777" w:rsidR="00117665" w:rsidRPr="00223850" w:rsidRDefault="00117665" w:rsidP="00117665">
            <w:r>
              <w:t>Improve the student college experience and expand student resources</w:t>
            </w:r>
          </w:p>
          <w:p w14:paraId="35C21C06" w14:textId="77777777" w:rsidR="00F26A57" w:rsidRDefault="00F26A57" w:rsidP="007B0814"/>
          <w:p w14:paraId="72B9DD08" w14:textId="77777777" w:rsidR="00F26A57" w:rsidRDefault="00F26A57" w:rsidP="007B0814"/>
        </w:tc>
        <w:tc>
          <w:tcPr>
            <w:tcW w:w="3267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5D82246F" w14:textId="5C222B1A" w:rsidR="00114B8D" w:rsidRDefault="00114B8D" w:rsidP="00114B8D">
            <w:r>
              <w:t xml:space="preserve">Purchase the necessary equipment and supplies to provide high quality campus laboratory experiences. </w:t>
            </w:r>
          </w:p>
          <w:p w14:paraId="64BCA1EB" w14:textId="77777777" w:rsidR="00114B8D" w:rsidRDefault="00114B8D" w:rsidP="00114B8D"/>
          <w:p w14:paraId="3F2F1CE8" w14:textId="77777777" w:rsidR="00481A70" w:rsidRPr="00E52FF2" w:rsidRDefault="00481A70" w:rsidP="00481A70">
            <w:pPr>
              <w:ind w:left="-108"/>
            </w:pPr>
            <w:r w:rsidRPr="00E52FF2">
              <w:t>1. Maintain Expendable supply budget</w:t>
            </w:r>
          </w:p>
          <w:p w14:paraId="0D74BCB7" w14:textId="77777777" w:rsidR="00481A70" w:rsidRPr="00E52FF2" w:rsidRDefault="00481A70" w:rsidP="00481A70">
            <w:pPr>
              <w:ind w:left="-108"/>
            </w:pPr>
            <w:r w:rsidRPr="00E52FF2">
              <w:t xml:space="preserve">$22,000.00 </w:t>
            </w:r>
          </w:p>
          <w:p w14:paraId="52785E78" w14:textId="77777777" w:rsidR="00481A70" w:rsidRPr="00E52FF2" w:rsidRDefault="00481A70" w:rsidP="00481A70">
            <w:pPr>
              <w:ind w:left="-108"/>
            </w:pPr>
          </w:p>
          <w:p w14:paraId="6ECCFEF4" w14:textId="77777777" w:rsidR="00481A70" w:rsidRPr="00E52FF2" w:rsidRDefault="00481A70" w:rsidP="00481A70">
            <w:pPr>
              <w:ind w:left="-108"/>
            </w:pPr>
            <w:r w:rsidRPr="00E52FF2">
              <w:t xml:space="preserve">2. Electronic differential counter </w:t>
            </w:r>
            <w:hyperlink r:id="rId5" w:history="1">
              <w:r w:rsidRPr="00E52FF2">
                <w:rPr>
                  <w:rStyle w:val="Hyperlink"/>
                </w:rPr>
                <w:t>2 @ 876.88</w:t>
              </w:r>
            </w:hyperlink>
            <w:r w:rsidRPr="00E52FF2">
              <w:t xml:space="preserve"> =$1753.76</w:t>
            </w:r>
          </w:p>
          <w:p w14:paraId="495DBCEB" w14:textId="77777777" w:rsidR="00481A70" w:rsidRPr="00E52FF2" w:rsidRDefault="00481A70" w:rsidP="00481A70">
            <w:pPr>
              <w:ind w:left="-108"/>
            </w:pPr>
          </w:p>
          <w:p w14:paraId="2C255AF7" w14:textId="77777777" w:rsidR="00481A70" w:rsidRPr="00E52FF2" w:rsidRDefault="00481A70" w:rsidP="00481A70">
            <w:pPr>
              <w:ind w:left="-108"/>
            </w:pPr>
            <w:r w:rsidRPr="00E52FF2">
              <w:t>3. Card rotator $1901.00</w:t>
            </w:r>
          </w:p>
          <w:p w14:paraId="301F762C" w14:textId="77777777" w:rsidR="00481A70" w:rsidRPr="00E52FF2" w:rsidRDefault="00481A70" w:rsidP="00481A70">
            <w:pPr>
              <w:ind w:left="-108"/>
            </w:pPr>
          </w:p>
          <w:p w14:paraId="4205318D" w14:textId="77777777" w:rsidR="00481A70" w:rsidRPr="00E52FF2" w:rsidRDefault="00481A70" w:rsidP="00481A70">
            <w:pPr>
              <w:ind w:left="-108"/>
            </w:pPr>
            <w:r w:rsidRPr="00E52FF2">
              <w:t>4. Microhematocrit centrifuge $2046.44</w:t>
            </w:r>
          </w:p>
          <w:p w14:paraId="5C4AD792" w14:textId="77777777" w:rsidR="00481A70" w:rsidRPr="00E52FF2" w:rsidRDefault="00481A70" w:rsidP="00481A70">
            <w:pPr>
              <w:ind w:left="-108"/>
              <w:rPr>
                <w:rFonts w:eastAsiaTheme="minorEastAsia"/>
                <w:sz w:val="24"/>
                <w:szCs w:val="24"/>
              </w:rPr>
            </w:pPr>
          </w:p>
          <w:p w14:paraId="5F61675A" w14:textId="77777777" w:rsidR="00F26A57" w:rsidRDefault="00F26A57" w:rsidP="007B0814"/>
        </w:tc>
        <w:tc>
          <w:tcPr>
            <w:tcW w:w="3217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36BFAF9D" w14:textId="77777777" w:rsidR="00C0696D" w:rsidRDefault="00C0696D" w:rsidP="00C0696D">
            <w:pPr>
              <w:ind w:left="-108"/>
            </w:pPr>
            <w:r>
              <w:t>This goal was completed.</w:t>
            </w:r>
          </w:p>
          <w:p w14:paraId="72C0F6F2" w14:textId="77777777" w:rsidR="00C0696D" w:rsidRDefault="00C0696D" w:rsidP="00C0696D">
            <w:pPr>
              <w:ind w:left="-108"/>
            </w:pPr>
          </w:p>
          <w:p w14:paraId="6FCE84BE" w14:textId="77777777" w:rsidR="00C0696D" w:rsidRDefault="00C0696D" w:rsidP="00C0696D">
            <w:pPr>
              <w:ind w:left="-108"/>
            </w:pPr>
            <w:r>
              <w:t>We were granted approval to purchase all expendable supplies needed for instruction this year.</w:t>
            </w:r>
          </w:p>
          <w:p w14:paraId="60C75D57" w14:textId="3A7F9825" w:rsidR="00C0696D" w:rsidRDefault="00C0696D" w:rsidP="00C0696D">
            <w:pPr>
              <w:ind w:left="-108"/>
            </w:pPr>
            <w:r>
              <w:t>Funding.</w:t>
            </w:r>
          </w:p>
          <w:p w14:paraId="4BFCA30D" w14:textId="7BB0BD80" w:rsidR="00754020" w:rsidRDefault="00485838" w:rsidP="00C0696D">
            <w:pPr>
              <w:ind w:left="-108"/>
            </w:pPr>
            <w:r>
              <w:t>Purchase of</w:t>
            </w:r>
            <w:r w:rsidR="00CA3C51">
              <w:t xml:space="preserve"> </w:t>
            </w:r>
            <w:r>
              <w:t xml:space="preserve">all minor equipment has been completed and </w:t>
            </w:r>
            <w:r w:rsidR="00832B41">
              <w:t xml:space="preserve">used in student lab </w:t>
            </w:r>
            <w:r w:rsidR="00CA3C51">
              <w:t>instruction</w:t>
            </w:r>
          </w:p>
          <w:p w14:paraId="36C6D3D1" w14:textId="77777777" w:rsidR="00F26A57" w:rsidRDefault="00F26A57" w:rsidP="007B0814"/>
        </w:tc>
        <w:tc>
          <w:tcPr>
            <w:tcW w:w="3234" w:type="dxa"/>
            <w:tcBorders>
              <w:top w:val="thinThickSmallGap" w:sz="12" w:space="0" w:color="auto"/>
              <w:left w:val="single" w:sz="6" w:space="0" w:color="auto"/>
            </w:tcBorders>
          </w:tcPr>
          <w:p w14:paraId="04B8D6E4" w14:textId="12448F37" w:rsidR="00F26A57" w:rsidRDefault="00AB7870" w:rsidP="007B0814">
            <w:r>
              <w:t>Our general budget for expendable supplies continues to serve the departments needs without any increase or decrease to budgeted amounts.</w:t>
            </w:r>
          </w:p>
        </w:tc>
      </w:tr>
      <w:tr w:rsidR="0038398C" w14:paraId="1CCEB10E" w14:textId="77777777" w:rsidTr="0038398C">
        <w:trPr>
          <w:trHeight w:val="54"/>
        </w:trPr>
        <w:tc>
          <w:tcPr>
            <w:tcW w:w="3226" w:type="dxa"/>
          </w:tcPr>
          <w:p w14:paraId="3B61FC4C" w14:textId="77777777" w:rsidR="0038398C" w:rsidRDefault="0038398C" w:rsidP="0038398C">
            <w:r>
              <w:t>Provide necessary technology in classrooms to support the MLT program.</w:t>
            </w:r>
          </w:p>
          <w:p w14:paraId="3918C04F" w14:textId="77777777" w:rsidR="0038398C" w:rsidRDefault="0038398C" w:rsidP="0038398C">
            <w:r w:rsidRPr="000307C2">
              <w:rPr>
                <w:b/>
                <w:bCs/>
              </w:rPr>
              <w:t>NAACLS Standard III.C. Physical Resources</w:t>
            </w:r>
            <w:r>
              <w:rPr>
                <w:b/>
                <w:bCs/>
              </w:rPr>
              <w:t xml:space="preserve">: </w:t>
            </w:r>
            <w:r>
              <w:t>Physical resources such as facilities, equipment and supplies, information resources and instructional resources sufficient to achieve program goals.</w:t>
            </w:r>
          </w:p>
          <w:p w14:paraId="0596623B" w14:textId="77777777" w:rsidR="0038398C" w:rsidRPr="00DD0209" w:rsidRDefault="0038398C" w:rsidP="0038398C">
            <w:pPr>
              <w:rPr>
                <w:b/>
              </w:rPr>
            </w:pPr>
            <w:r>
              <w:rPr>
                <w:b/>
              </w:rPr>
              <w:t>Technology Plan 2015-2020. Goal VI-1. Objective VI-1-1.</w:t>
            </w:r>
          </w:p>
          <w:p w14:paraId="75432881" w14:textId="77777777" w:rsidR="0038398C" w:rsidRDefault="0038398C" w:rsidP="0038398C">
            <w:pPr>
              <w:rPr>
                <w:b/>
              </w:rPr>
            </w:pPr>
            <w:r>
              <w:rPr>
                <w:b/>
              </w:rPr>
              <w:t>College Action Priorities</w:t>
            </w:r>
          </w:p>
          <w:p w14:paraId="2C75CA1C" w14:textId="77777777" w:rsidR="0038398C" w:rsidRDefault="0038398C" w:rsidP="0038398C">
            <w:pPr>
              <w:rPr>
                <w:b/>
              </w:rPr>
            </w:pPr>
            <w:r>
              <w:rPr>
                <w:b/>
              </w:rPr>
              <w:lastRenderedPageBreak/>
              <w:t>#4</w:t>
            </w:r>
          </w:p>
          <w:p w14:paraId="3DD767B8" w14:textId="77777777" w:rsidR="0038398C" w:rsidRDefault="0038398C" w:rsidP="0038398C">
            <w:r w:rsidRPr="00816808">
              <w:t>Improve students</w:t>
            </w:r>
            <w:r>
              <w:t>’</w:t>
            </w:r>
            <w:r w:rsidRPr="00816808">
              <w:t xml:space="preserve"> college experiences and expand student resources for suc</w:t>
            </w:r>
            <w:r>
              <w:t>c</w:t>
            </w:r>
            <w:r w:rsidRPr="00816808">
              <w:t>ess</w:t>
            </w:r>
          </w:p>
          <w:p w14:paraId="0BB2C5A1" w14:textId="77777777" w:rsidR="0038398C" w:rsidRDefault="0038398C" w:rsidP="0038398C">
            <w:pPr>
              <w:rPr>
                <w:b/>
              </w:rPr>
            </w:pPr>
            <w:r>
              <w:rPr>
                <w:b/>
              </w:rPr>
              <w:t xml:space="preserve">#5 </w:t>
            </w:r>
          </w:p>
          <w:p w14:paraId="64546569" w14:textId="77777777" w:rsidR="0038398C" w:rsidRDefault="0038398C" w:rsidP="0038398C">
            <w:pPr>
              <w:rPr>
                <w:b/>
              </w:rPr>
            </w:pPr>
            <w:r>
              <w:rPr>
                <w:bCs/>
              </w:rPr>
              <w:t>Improve the Jefferson Campus building and infrastructure.</w:t>
            </w:r>
            <w:r>
              <w:rPr>
                <w:b/>
              </w:rPr>
              <w:t xml:space="preserve"> </w:t>
            </w:r>
          </w:p>
          <w:p w14:paraId="14C368A1" w14:textId="77777777" w:rsidR="0038398C" w:rsidRPr="00DA10E6" w:rsidRDefault="0038398C" w:rsidP="0038398C">
            <w:pPr>
              <w:rPr>
                <w:rFonts w:cstheme="minorHAnsi"/>
                <w:b/>
              </w:rPr>
            </w:pPr>
            <w:r w:rsidRPr="00DA10E6">
              <w:rPr>
                <w:rFonts w:cstheme="minorHAnsi"/>
                <w:b/>
              </w:rPr>
              <w:t>NAACLS Standard III.C.</w:t>
            </w:r>
          </w:p>
          <w:p w14:paraId="2791A927" w14:textId="77777777" w:rsidR="0038398C" w:rsidRPr="00DA10E6" w:rsidRDefault="0038398C" w:rsidP="00383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A10E6">
              <w:rPr>
                <w:rFonts w:cstheme="minorHAnsi"/>
                <w:color w:val="000000"/>
              </w:rPr>
              <w:t xml:space="preserve">Physical Resources </w:t>
            </w:r>
          </w:p>
          <w:p w14:paraId="5F138202" w14:textId="1A130DA5" w:rsidR="0038398C" w:rsidRDefault="0038398C" w:rsidP="0038398C">
            <w:r w:rsidRPr="00DA10E6">
              <w:rPr>
                <w:rFonts w:cstheme="minorHAnsi"/>
                <w:color w:val="000000"/>
              </w:rPr>
              <w:t>Physical resources such as facilities, equipment and supplies, information resources, and instructional resources sufficient to achieve the program goals.</w:t>
            </w:r>
          </w:p>
        </w:tc>
        <w:tc>
          <w:tcPr>
            <w:tcW w:w="3267" w:type="dxa"/>
            <w:tcBorders>
              <w:left w:val="single" w:sz="6" w:space="0" w:color="auto"/>
              <w:right w:val="single" w:sz="4" w:space="0" w:color="auto"/>
            </w:tcBorders>
          </w:tcPr>
          <w:p w14:paraId="2DFD5D88" w14:textId="11E4FF24" w:rsidR="00203601" w:rsidRDefault="00203601" w:rsidP="00203601">
            <w:pPr>
              <w:ind w:left="-108"/>
            </w:pPr>
            <w:r w:rsidRPr="005A01F0">
              <w:lastRenderedPageBreak/>
              <w:t>Make necessary upg</w:t>
            </w:r>
            <w:r>
              <w:t>rades in GLB 164 to support the</w:t>
            </w:r>
          </w:p>
          <w:p w14:paraId="6BF9F4CF" w14:textId="30B0F5A5" w:rsidR="00203601" w:rsidRDefault="00203601" w:rsidP="00203601">
            <w:pPr>
              <w:ind w:left="-108"/>
            </w:pPr>
            <w:r>
              <w:t>MLT Program</w:t>
            </w:r>
            <w:r w:rsidRPr="005A01F0">
              <w:t>.</w:t>
            </w:r>
            <w:r>
              <w:t xml:space="preserve"> </w:t>
            </w:r>
          </w:p>
          <w:p w14:paraId="0FCC7B9C" w14:textId="32AEB9C8" w:rsidR="00043345" w:rsidRDefault="00043345" w:rsidP="00203601">
            <w:pPr>
              <w:ind w:left="-108"/>
            </w:pPr>
          </w:p>
          <w:p w14:paraId="0DB795EC" w14:textId="77777777" w:rsidR="009112BE" w:rsidRDefault="009112BE" w:rsidP="009112BE">
            <w:pPr>
              <w:ind w:left="-108"/>
            </w:pPr>
            <w:r>
              <w:t>1. Instructional Technology for GLB 164</w:t>
            </w:r>
          </w:p>
          <w:p w14:paraId="56FF47F0" w14:textId="77777777" w:rsidR="009112BE" w:rsidRDefault="009112BE" w:rsidP="009112BE">
            <w:pPr>
              <w:ind w:left="-108"/>
            </w:pPr>
            <w:r>
              <w:t xml:space="preserve">a. Ceiling mounting kit for     </w:t>
            </w:r>
          </w:p>
          <w:p w14:paraId="1A77ADCA" w14:textId="77777777" w:rsidR="009112BE" w:rsidRDefault="009112BE" w:rsidP="009112BE">
            <w:pPr>
              <w:ind w:left="-108"/>
            </w:pPr>
            <w:r>
              <w:t xml:space="preserve">     projector.  $2219.11</w:t>
            </w:r>
          </w:p>
          <w:p w14:paraId="7C52CB90" w14:textId="77777777" w:rsidR="009112BE" w:rsidRDefault="009112BE" w:rsidP="009112BE">
            <w:pPr>
              <w:ind w:left="-108"/>
            </w:pPr>
          </w:p>
          <w:p w14:paraId="0F584176" w14:textId="77777777" w:rsidR="009112BE" w:rsidRDefault="009112BE" w:rsidP="009112BE">
            <w:pPr>
              <w:ind w:left="-108"/>
            </w:pPr>
            <w:r>
              <w:t xml:space="preserve">   b. Add additional tables  and chairs to increase  seating capacity from Virco to match what is already in place. 14 chairs $787.36 </w:t>
            </w:r>
            <w:r>
              <w:lastRenderedPageBreak/>
              <w:t>(6 chairs are to replace what we are using from the nursing department currently) and 4 tables $910.80. This will accommodate all MLT classes.</w:t>
            </w:r>
          </w:p>
          <w:p w14:paraId="47D3FFF1" w14:textId="77777777" w:rsidR="009112BE" w:rsidRDefault="009112BE" w:rsidP="009112BE">
            <w:pPr>
              <w:ind w:left="-108"/>
            </w:pPr>
          </w:p>
          <w:p w14:paraId="2B0EA39C" w14:textId="77777777" w:rsidR="009112BE" w:rsidRDefault="009112BE" w:rsidP="009112BE">
            <w:pPr>
              <w:ind w:left="-108"/>
            </w:pPr>
            <w:r>
              <w:t>2.  JSCC Work order for chalkboard removal and touch-up painting $500.00</w:t>
            </w:r>
          </w:p>
          <w:p w14:paraId="6BA75017" w14:textId="77777777" w:rsidR="009112BE" w:rsidRDefault="009112BE" w:rsidP="009112BE">
            <w:pPr>
              <w:ind w:left="-108"/>
            </w:pPr>
          </w:p>
          <w:p w14:paraId="0CB879F2" w14:textId="77777777" w:rsidR="009112BE" w:rsidRDefault="009112BE" w:rsidP="009112BE">
            <w:pPr>
              <w:ind w:left="-108"/>
            </w:pPr>
            <w:r>
              <w:t>3. Whiteboard $436.00</w:t>
            </w:r>
          </w:p>
          <w:p w14:paraId="741A0AA4" w14:textId="11D826B7" w:rsidR="00043345" w:rsidRPr="005A01F0" w:rsidRDefault="00043345" w:rsidP="004F51E4"/>
          <w:p w14:paraId="0A6F6477" w14:textId="77777777" w:rsidR="0038398C" w:rsidRDefault="0038398C" w:rsidP="0038398C"/>
        </w:tc>
        <w:tc>
          <w:tcPr>
            <w:tcW w:w="3217" w:type="dxa"/>
            <w:tcBorders>
              <w:left w:val="single" w:sz="4" w:space="0" w:color="auto"/>
              <w:right w:val="single" w:sz="6" w:space="0" w:color="auto"/>
            </w:tcBorders>
          </w:tcPr>
          <w:p w14:paraId="4E5931A8" w14:textId="77777777" w:rsidR="0038398C" w:rsidRDefault="00BD17EF" w:rsidP="0038398C">
            <w:r>
              <w:lastRenderedPageBreak/>
              <w:t>This goal is completed</w:t>
            </w:r>
          </w:p>
          <w:p w14:paraId="08114F75" w14:textId="77777777" w:rsidR="005E0BCD" w:rsidRDefault="005E0BCD" w:rsidP="0038398C"/>
          <w:p w14:paraId="464CF38D" w14:textId="77777777" w:rsidR="005F7BE0" w:rsidRDefault="005E0BCD" w:rsidP="0038398C">
            <w:r>
              <w:t>The chalkboards were removed</w:t>
            </w:r>
          </w:p>
          <w:p w14:paraId="03298133" w14:textId="77777777" w:rsidR="005F7BE0" w:rsidRDefault="005E0BCD" w:rsidP="0038398C">
            <w:r>
              <w:t xml:space="preserve">and the room painted. </w:t>
            </w:r>
            <w:r w:rsidR="00A43CEE">
              <w:t>We installed a new whiteboard</w:t>
            </w:r>
            <w:r w:rsidR="00E508EF">
              <w:t xml:space="preserve"> and ceiling mounted LED projector. IT provided an o</w:t>
            </w:r>
            <w:r w:rsidR="006F6E91">
              <w:t>ld desktop</w:t>
            </w:r>
            <w:r w:rsidR="00634A83">
              <w:t>. The projection screen was moved</w:t>
            </w:r>
          </w:p>
          <w:p w14:paraId="6E6DE59F" w14:textId="4E9A1170" w:rsidR="005E0BCD" w:rsidRDefault="00634A83" w:rsidP="0038398C">
            <w:r>
              <w:t xml:space="preserve">and room rearranged so that it could accommodate </w:t>
            </w:r>
            <w:r w:rsidR="0014754A">
              <w:t xml:space="preserve">up to 36 </w:t>
            </w:r>
            <w:r w:rsidR="00B92D18">
              <w:t xml:space="preserve">students. </w:t>
            </w:r>
            <w:r w:rsidR="00CE0A8E">
              <w:t xml:space="preserve">We </w:t>
            </w:r>
            <w:r w:rsidR="00805910">
              <w:t xml:space="preserve">purchased </w:t>
            </w:r>
            <w:r w:rsidR="00465E73">
              <w:t>additional tables and chairs</w:t>
            </w:r>
            <w:r w:rsidR="00E6018F">
              <w:t xml:space="preserve"> </w:t>
            </w:r>
            <w:r w:rsidR="00465E73">
              <w:t>to accommodate seating for thi</w:t>
            </w:r>
            <w:r w:rsidR="00E6018F">
              <w:t xml:space="preserve">s </w:t>
            </w:r>
            <w:r w:rsidR="00E6018F">
              <w:lastRenderedPageBreak/>
              <w:t>number</w:t>
            </w:r>
            <w:r w:rsidR="001037E1">
              <w:t xml:space="preserve">. </w:t>
            </w:r>
            <w:r w:rsidR="00C965BE">
              <w:t>We still</w:t>
            </w:r>
            <w:r w:rsidR="00EA2D01">
              <w:t xml:space="preserve"> </w:t>
            </w:r>
            <w:r w:rsidR="00C965BE">
              <w:t xml:space="preserve">have two tables that were missing parts for assembly. Virco has ordered these and due to Covid-19 situation is </w:t>
            </w:r>
            <w:r w:rsidR="00C61BEA">
              <w:t>planning on completing the installation of these last two tables when they de</w:t>
            </w:r>
            <w:r w:rsidR="00EA2D01">
              <w:t>li</w:t>
            </w:r>
            <w:r w:rsidR="00C61BEA">
              <w:t>ver products for another area</w:t>
            </w:r>
            <w:r w:rsidR="005F7BE0">
              <w:t xml:space="preserve"> within the college</w:t>
            </w:r>
            <w:r w:rsidR="00C61BEA">
              <w:t xml:space="preserve"> to limit </w:t>
            </w:r>
            <w:r w:rsidR="00EA2D01">
              <w:t xml:space="preserve">trips to campus during our shutdown. </w:t>
            </w:r>
          </w:p>
        </w:tc>
        <w:tc>
          <w:tcPr>
            <w:tcW w:w="3234" w:type="dxa"/>
            <w:tcBorders>
              <w:left w:val="single" w:sz="6" w:space="0" w:color="auto"/>
            </w:tcBorders>
          </w:tcPr>
          <w:p w14:paraId="4D31C162" w14:textId="17C5917B" w:rsidR="0038398C" w:rsidRDefault="00580BFA" w:rsidP="0038398C">
            <w:r>
              <w:lastRenderedPageBreak/>
              <w:t xml:space="preserve">This lecture space has served the MLT program well. </w:t>
            </w:r>
            <w:r w:rsidR="00D8470A">
              <w:t xml:space="preserve">Our face-to face lecture courses include Chemistry MLT 151, </w:t>
            </w:r>
            <w:r w:rsidR="008A6CCB">
              <w:t>Microbiology</w:t>
            </w:r>
            <w:r w:rsidR="0014754A">
              <w:t xml:space="preserve"> </w:t>
            </w:r>
            <w:r w:rsidR="008A6CCB">
              <w:t>MLT 141 and 142 and Blood Bank MLT</w:t>
            </w:r>
            <w:r w:rsidR="005F7BE0">
              <w:t>191</w:t>
            </w:r>
            <w:r w:rsidR="00D13F66">
              <w:t xml:space="preserve">. These major MLT courses are taken by both summer and fall admission cohorts </w:t>
            </w:r>
            <w:r w:rsidR="008E164C">
              <w:t>which increases possible capacity to 36</w:t>
            </w:r>
            <w:r w:rsidR="005F7BE0">
              <w:t xml:space="preserve"> students</w:t>
            </w:r>
            <w:r w:rsidR="008E164C">
              <w:t xml:space="preserve">. </w:t>
            </w:r>
          </w:p>
          <w:p w14:paraId="11482141" w14:textId="77777777" w:rsidR="00760752" w:rsidRDefault="00760752" w:rsidP="0038398C">
            <w:r>
              <w:t xml:space="preserve">The room is comfortable and </w:t>
            </w:r>
            <w:r w:rsidR="009B1E4F">
              <w:t>students as well as instructors are satisfied.</w:t>
            </w:r>
          </w:p>
          <w:p w14:paraId="090EEE0A" w14:textId="70E7742A" w:rsidR="009B1E4F" w:rsidRDefault="009B1E4F" w:rsidP="0038398C">
            <w:r>
              <w:lastRenderedPageBreak/>
              <w:t xml:space="preserve">Each semester we place a schedule outside the door of </w:t>
            </w:r>
            <w:r w:rsidR="00DD6BD2">
              <w:t xml:space="preserve">MLT use. This allows other </w:t>
            </w:r>
            <w:r w:rsidR="00330DC7">
              <w:t>program</w:t>
            </w:r>
            <w:r w:rsidR="008311B7">
              <w:t>s</w:t>
            </w:r>
            <w:r w:rsidR="00330DC7">
              <w:t xml:space="preserve"> to utilize this available space as needed</w:t>
            </w:r>
            <w:r w:rsidR="008311B7">
              <w:t>.</w:t>
            </w:r>
          </w:p>
        </w:tc>
      </w:tr>
      <w:tr w:rsidR="0038398C" w14:paraId="1B914A8E" w14:textId="77777777" w:rsidTr="0038398C">
        <w:trPr>
          <w:trHeight w:val="54"/>
        </w:trPr>
        <w:tc>
          <w:tcPr>
            <w:tcW w:w="3226" w:type="dxa"/>
            <w:tcBorders>
              <w:right w:val="single" w:sz="6" w:space="0" w:color="auto"/>
            </w:tcBorders>
          </w:tcPr>
          <w:p w14:paraId="3A4E0704" w14:textId="77777777" w:rsidR="003F4959" w:rsidRDefault="003F4959" w:rsidP="003F4959">
            <w:r w:rsidRPr="00FE6797">
              <w:lastRenderedPageBreak/>
              <w:t>Monitor student progress</w:t>
            </w:r>
            <w:r>
              <w:t xml:space="preserve"> with online tools that will enhance competency within the curriculum.</w:t>
            </w:r>
          </w:p>
          <w:p w14:paraId="5E6FEB8F" w14:textId="77777777" w:rsidR="003F4959" w:rsidRPr="00D92E19" w:rsidRDefault="003F4959" w:rsidP="003F4959">
            <w:pPr>
              <w:rPr>
                <w:b/>
              </w:rPr>
            </w:pPr>
            <w:r w:rsidRPr="00D92E19">
              <w:rPr>
                <w:b/>
              </w:rPr>
              <w:t>Program Outcome</w:t>
            </w:r>
          </w:p>
          <w:p w14:paraId="06ACB541" w14:textId="77777777" w:rsidR="003F4959" w:rsidRDefault="003F4959" w:rsidP="003F4959">
            <w:r>
              <w:t>#2. Graduates will take the ASCP BOC national certification exam with a pass rate at or above the NAACLS benchmark of 75%</w:t>
            </w:r>
          </w:p>
          <w:p w14:paraId="2AB22C19" w14:textId="77777777" w:rsidR="003F4959" w:rsidRDefault="003F4959" w:rsidP="003F4959">
            <w:pPr>
              <w:rPr>
                <w:b/>
              </w:rPr>
            </w:pPr>
            <w:r>
              <w:rPr>
                <w:b/>
              </w:rPr>
              <w:t>College Action Priorities</w:t>
            </w:r>
          </w:p>
          <w:p w14:paraId="10527860" w14:textId="77777777" w:rsidR="003F4959" w:rsidRDefault="003F4959" w:rsidP="003F4959">
            <w:pPr>
              <w:rPr>
                <w:b/>
              </w:rPr>
            </w:pPr>
            <w:r>
              <w:rPr>
                <w:b/>
              </w:rPr>
              <w:t>#4</w:t>
            </w:r>
          </w:p>
          <w:p w14:paraId="46E0C4AE" w14:textId="77777777" w:rsidR="003F4959" w:rsidRDefault="003F4959" w:rsidP="003F4959">
            <w:r w:rsidRPr="00816808">
              <w:t>Improve students</w:t>
            </w:r>
            <w:r>
              <w:t>’</w:t>
            </w:r>
            <w:r w:rsidRPr="00816808">
              <w:t xml:space="preserve"> college experiences and expand student resources for suc</w:t>
            </w:r>
            <w:r>
              <w:t>c</w:t>
            </w:r>
            <w:r w:rsidRPr="00816808">
              <w:t>ess</w:t>
            </w:r>
          </w:p>
          <w:p w14:paraId="67FCD844" w14:textId="77777777" w:rsidR="0038398C" w:rsidRDefault="0038398C" w:rsidP="0038398C"/>
          <w:p w14:paraId="6A019EA3" w14:textId="77777777" w:rsidR="0038398C" w:rsidRDefault="0038398C" w:rsidP="0038398C"/>
        </w:tc>
        <w:tc>
          <w:tcPr>
            <w:tcW w:w="3267" w:type="dxa"/>
            <w:tcBorders>
              <w:left w:val="single" w:sz="6" w:space="0" w:color="auto"/>
              <w:right w:val="single" w:sz="4" w:space="0" w:color="auto"/>
            </w:tcBorders>
          </w:tcPr>
          <w:p w14:paraId="66FC4BA5" w14:textId="4F5E47B1" w:rsidR="000A3F5B" w:rsidRDefault="000A3F5B" w:rsidP="000A3F5B">
            <w:r>
              <w:t>To increase the number of students passing a national certification exam</w:t>
            </w:r>
          </w:p>
          <w:p w14:paraId="5F8A9480" w14:textId="77777777" w:rsidR="00353783" w:rsidRDefault="00353783" w:rsidP="00353783">
            <w:r>
              <w:t xml:space="preserve">1. ASCP BOC testing report </w:t>
            </w:r>
          </w:p>
          <w:p w14:paraId="626FE357" w14:textId="77777777" w:rsidR="00353783" w:rsidRDefault="00353783" w:rsidP="00353783">
            <w:r>
              <w:t xml:space="preserve">Cost:  $150.00 per year. </w:t>
            </w:r>
          </w:p>
          <w:p w14:paraId="79716F92" w14:textId="77777777" w:rsidR="00353783" w:rsidRDefault="00353783" w:rsidP="00353783">
            <w:r>
              <w:t xml:space="preserve">2. Medtraining training subscription </w:t>
            </w:r>
          </w:p>
          <w:p w14:paraId="0FD2349F" w14:textId="77777777" w:rsidR="00353783" w:rsidRDefault="00353783" w:rsidP="00353783">
            <w:r>
              <w:t>Cost: $1,390.00 yearly</w:t>
            </w:r>
          </w:p>
          <w:p w14:paraId="0E395F8D" w14:textId="77777777" w:rsidR="00353783" w:rsidRDefault="00353783" w:rsidP="00353783">
            <w:r>
              <w:t>3. NAACLS Accreditation yearly fees $2325.00</w:t>
            </w:r>
          </w:p>
          <w:p w14:paraId="5B2FCFAB" w14:textId="4A136902" w:rsidR="0038398C" w:rsidRDefault="00353783" w:rsidP="00353783">
            <w:r>
              <w:t>4. Orchard Software License 2880.00 yearly</w:t>
            </w:r>
          </w:p>
        </w:tc>
        <w:tc>
          <w:tcPr>
            <w:tcW w:w="3217" w:type="dxa"/>
            <w:tcBorders>
              <w:left w:val="single" w:sz="4" w:space="0" w:color="auto"/>
              <w:right w:val="single" w:sz="6" w:space="0" w:color="auto"/>
            </w:tcBorders>
          </w:tcPr>
          <w:p w14:paraId="543EC802" w14:textId="2113FCFA" w:rsidR="0038398C" w:rsidRDefault="00777569" w:rsidP="0038398C">
            <w:r>
              <w:t>This goal was</w:t>
            </w:r>
            <w:r w:rsidR="006F5F7E">
              <w:t xml:space="preserve"> </w:t>
            </w:r>
            <w:r>
              <w:t>completed</w:t>
            </w:r>
          </w:p>
        </w:tc>
        <w:tc>
          <w:tcPr>
            <w:tcW w:w="3234" w:type="dxa"/>
            <w:tcBorders>
              <w:left w:val="single" w:sz="6" w:space="0" w:color="auto"/>
            </w:tcBorders>
          </w:tcPr>
          <w:p w14:paraId="078BDC5B" w14:textId="4E690465" w:rsidR="0038398C" w:rsidRDefault="00777569" w:rsidP="0038398C">
            <w:r>
              <w:t xml:space="preserve">The purchase of the ASCP BOC report and Yearly subscription for Medtraining helps the program follow and monitor the need for curriculum changes to maintain our pass </w:t>
            </w:r>
            <w:r w:rsidRPr="00437A6B">
              <w:t xml:space="preserve">rate above NAACLS benchmark. Current </w:t>
            </w:r>
            <w:r w:rsidR="00437A6B" w:rsidRPr="00437A6B">
              <w:t xml:space="preserve">2019 </w:t>
            </w:r>
            <w:r w:rsidRPr="00437A6B">
              <w:t xml:space="preserve">NAACLS three-year cycle </w:t>
            </w:r>
            <w:r w:rsidR="00437A6B" w:rsidRPr="00437A6B">
              <w:t xml:space="preserve">based on </w:t>
            </w:r>
            <w:r w:rsidRPr="00437A6B">
              <w:t>2016-2018 pass rate is 7</w:t>
            </w:r>
            <w:r w:rsidR="00437A6B" w:rsidRPr="00437A6B">
              <w:t>7</w:t>
            </w:r>
            <w:r w:rsidRPr="00437A6B">
              <w:t>% which is above the NAACLS benchmark of %75</w:t>
            </w:r>
          </w:p>
        </w:tc>
      </w:tr>
      <w:tr w:rsidR="00857D86" w14:paraId="3A92EC5E" w14:textId="77777777" w:rsidTr="00734F06">
        <w:trPr>
          <w:trHeight w:val="54"/>
        </w:trPr>
        <w:tc>
          <w:tcPr>
            <w:tcW w:w="3226" w:type="dxa"/>
          </w:tcPr>
          <w:p w14:paraId="6E5C43BB" w14:textId="77777777" w:rsidR="00857D86" w:rsidRDefault="00857D86" w:rsidP="00857D86">
            <w:r>
              <w:t>Keep abreast of changes and trends in the Laboratory Science profession to improve classroom instruction.</w:t>
            </w:r>
          </w:p>
          <w:p w14:paraId="649F3EB7" w14:textId="77777777" w:rsidR="00857D86" w:rsidRDefault="00857D86" w:rsidP="00857D86">
            <w:pPr>
              <w:rPr>
                <w:rFonts w:eastAsia="Times New Roman" w:cs="Arial"/>
              </w:rPr>
            </w:pPr>
            <w:r w:rsidRPr="00D87587">
              <w:rPr>
                <w:b/>
              </w:rPr>
              <w:t>NAACLS Standard</w:t>
            </w:r>
            <w:r>
              <w:rPr>
                <w:b/>
              </w:rPr>
              <w:t>s</w:t>
            </w:r>
            <w:r>
              <w:t xml:space="preserve"> </w:t>
            </w:r>
            <w:r w:rsidRPr="00D87587">
              <w:rPr>
                <w:rFonts w:eastAsia="Times New Roman" w:cs="Arial"/>
              </w:rPr>
              <w:t xml:space="preserve">NAACLS standard VII.A.2.C. </w:t>
            </w:r>
            <w:r w:rsidRPr="00D87587">
              <w:rPr>
                <w:rFonts w:eastAsia="Times New Roman" w:cs="Arial"/>
                <w:b/>
              </w:rPr>
              <w:t>The program coordinator</w:t>
            </w:r>
            <w:r>
              <w:rPr>
                <w:rFonts w:eastAsia="Times New Roman" w:cs="Arial"/>
              </w:rPr>
              <w:t xml:space="preserve"> must show</w:t>
            </w:r>
          </w:p>
          <w:p w14:paraId="4C35CDF8" w14:textId="77777777" w:rsidR="00857D86" w:rsidRPr="00D87587" w:rsidRDefault="00857D86" w:rsidP="00857D86">
            <w:r w:rsidRPr="00D87587">
              <w:rPr>
                <w:rFonts w:eastAsia="Times New Roman" w:cs="Arial"/>
              </w:rPr>
              <w:t>documentation of 36 CEU hours over each 3</w:t>
            </w:r>
            <w:r>
              <w:rPr>
                <w:rFonts w:eastAsia="Times New Roman" w:cs="Arial"/>
              </w:rPr>
              <w:t>-</w:t>
            </w:r>
            <w:r w:rsidRPr="00D87587">
              <w:rPr>
                <w:rFonts w:eastAsia="Times New Roman" w:cs="Arial"/>
              </w:rPr>
              <w:t xml:space="preserve">year period. </w:t>
            </w:r>
          </w:p>
          <w:p w14:paraId="472B749E" w14:textId="77777777" w:rsidR="00857D86" w:rsidRPr="00D87587" w:rsidRDefault="00857D86" w:rsidP="00857D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Standard VII.2.c.</w:t>
            </w:r>
          </w:p>
          <w:p w14:paraId="69259CD9" w14:textId="77777777" w:rsidR="00857D86" w:rsidRPr="00D87587" w:rsidRDefault="00857D86" w:rsidP="00857D8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87587">
              <w:rPr>
                <w:rFonts w:asciiTheme="minorHAnsi" w:hAnsiTheme="minorHAnsi"/>
                <w:b/>
                <w:sz w:val="22"/>
                <w:szCs w:val="22"/>
              </w:rPr>
              <w:t>Di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dactic Instructor Appointments </w:t>
            </w:r>
          </w:p>
          <w:p w14:paraId="62FF2DA9" w14:textId="77777777" w:rsidR="00857D86" w:rsidRDefault="00857D86" w:rsidP="00857D86">
            <w:r w:rsidRPr="00D87587">
              <w:t>The program must have qualified faculty/instructors</w:t>
            </w:r>
            <w:r>
              <w:t>.</w:t>
            </w:r>
            <w:r w:rsidRPr="00D87587">
              <w:t xml:space="preserve">  The program must ensure and document ongoing professional development of th</w:t>
            </w:r>
            <w:r>
              <w:t>e program faculty/instructors.</w:t>
            </w:r>
          </w:p>
          <w:p w14:paraId="72879DC2" w14:textId="77777777" w:rsidR="00857D86" w:rsidRPr="000307C2" w:rsidRDefault="00857D86" w:rsidP="00857D86">
            <w:pPr>
              <w:rPr>
                <w:b/>
                <w:bCs/>
              </w:rPr>
            </w:pPr>
            <w:r w:rsidRPr="000307C2">
              <w:rPr>
                <w:b/>
                <w:bCs/>
              </w:rPr>
              <w:t>College Action Priority #1</w:t>
            </w:r>
          </w:p>
          <w:p w14:paraId="1D9D5872" w14:textId="57BC14DC" w:rsidR="00857D86" w:rsidRDefault="00857D86" w:rsidP="00857D86">
            <w:r>
              <w:t>Improve and advance college programs and units, including both academic and workforce development efforts</w:t>
            </w:r>
          </w:p>
        </w:tc>
        <w:tc>
          <w:tcPr>
            <w:tcW w:w="3267" w:type="dxa"/>
            <w:tcBorders>
              <w:left w:val="single" w:sz="6" w:space="0" w:color="auto"/>
              <w:right w:val="single" w:sz="4" w:space="0" w:color="auto"/>
            </w:tcBorders>
          </w:tcPr>
          <w:p w14:paraId="400465F9" w14:textId="77777777" w:rsidR="00857D86" w:rsidRDefault="00425F46" w:rsidP="00857D86">
            <w:r>
              <w:t>1. Provide the MLT full-time faculty the opportunity to obtain professional development.</w:t>
            </w:r>
          </w:p>
          <w:p w14:paraId="4AD12CF2" w14:textId="77777777" w:rsidR="00281D6B" w:rsidRDefault="00281D6B" w:rsidP="00857D86"/>
          <w:p w14:paraId="55B620DF" w14:textId="77777777" w:rsidR="00281D6B" w:rsidRPr="00933E60" w:rsidRDefault="00281D6B" w:rsidP="00281D6B">
            <w:r w:rsidRPr="00933E60">
              <w:t>1. Program Coordinator to attend CLEC 2020 in Orlando.</w:t>
            </w:r>
          </w:p>
          <w:p w14:paraId="4717E680" w14:textId="77777777" w:rsidR="00281D6B" w:rsidRPr="00933E60" w:rsidRDefault="00281D6B" w:rsidP="00281D6B">
            <w:r w:rsidRPr="00933E60">
              <w:t>Estimated cost of $1700.00 on IAP</w:t>
            </w:r>
          </w:p>
          <w:p w14:paraId="7AF28E05" w14:textId="77777777" w:rsidR="00281D6B" w:rsidRPr="00933E60" w:rsidRDefault="00281D6B" w:rsidP="00281D6B"/>
          <w:p w14:paraId="463F47A2" w14:textId="77777777" w:rsidR="00281D6B" w:rsidRPr="00933E60" w:rsidRDefault="00281D6B" w:rsidP="00281D6B">
            <w:r w:rsidRPr="00933E60">
              <w:t>2. Clinical Coordinator to attend CLEC 2020 in Orlando.</w:t>
            </w:r>
          </w:p>
          <w:p w14:paraId="04ABE866" w14:textId="77777777" w:rsidR="00281D6B" w:rsidRPr="00933E60" w:rsidRDefault="00281D6B" w:rsidP="00281D6B">
            <w:r w:rsidRPr="00933E60">
              <w:t>Estimated cost of $1700.00 on IAP</w:t>
            </w:r>
          </w:p>
          <w:p w14:paraId="3856DD10" w14:textId="03C8D648" w:rsidR="00281D6B" w:rsidRDefault="00281D6B" w:rsidP="00857D86"/>
        </w:tc>
        <w:tc>
          <w:tcPr>
            <w:tcW w:w="3217" w:type="dxa"/>
            <w:tcBorders>
              <w:left w:val="single" w:sz="4" w:space="0" w:color="auto"/>
              <w:right w:val="single" w:sz="6" w:space="0" w:color="auto"/>
            </w:tcBorders>
          </w:tcPr>
          <w:p w14:paraId="776B8BDF" w14:textId="0337070D" w:rsidR="00857D86" w:rsidRDefault="006F5F7E" w:rsidP="00857D86">
            <w:r>
              <w:t>This goal was completed</w:t>
            </w:r>
          </w:p>
        </w:tc>
        <w:tc>
          <w:tcPr>
            <w:tcW w:w="3234" w:type="dxa"/>
            <w:tcBorders>
              <w:left w:val="single" w:sz="6" w:space="0" w:color="auto"/>
            </w:tcBorders>
          </w:tcPr>
          <w:p w14:paraId="1C98D7A4" w14:textId="60DD4257" w:rsidR="006F5F7E" w:rsidRDefault="006F5F7E" w:rsidP="006F5F7E">
            <w:r>
              <w:t xml:space="preserve">The program coordinator and clinical coordinator completed required continuing professional development </w:t>
            </w:r>
            <w:r w:rsidR="005F7BE0">
              <w:t>by attending the Clinical Laboratory Educators Conference in Orlando.</w:t>
            </w:r>
          </w:p>
          <w:p w14:paraId="2E955D2F" w14:textId="1E1092C2" w:rsidR="006F5F7E" w:rsidRPr="00834651" w:rsidRDefault="006F5F7E" w:rsidP="006F5F7E">
            <w:r w:rsidRPr="00834651">
              <w:t xml:space="preserve">The full- time clinical coordinator obtained </w:t>
            </w:r>
            <w:r w:rsidR="005F7BE0" w:rsidRPr="00834651">
              <w:t>9</w:t>
            </w:r>
            <w:r w:rsidRPr="00834651">
              <w:t xml:space="preserve"> CEU credits</w:t>
            </w:r>
            <w:r w:rsidR="00437A6B" w:rsidRPr="00834651">
              <w:t xml:space="preserve"> and </w:t>
            </w:r>
            <w:r w:rsidRPr="00834651">
              <w:t>satisfied the NAACLS requirement</w:t>
            </w:r>
            <w:r w:rsidR="00437A6B" w:rsidRPr="00834651">
              <w:t xml:space="preserve"> that full-time instructors are provided ongoing professional development.</w:t>
            </w:r>
          </w:p>
          <w:p w14:paraId="73E1DAC7" w14:textId="0244CA1E" w:rsidR="00857D86" w:rsidRDefault="006F5F7E" w:rsidP="006F5F7E">
            <w:r w:rsidRPr="00834651">
              <w:t xml:space="preserve">The program coordinator earned </w:t>
            </w:r>
            <w:r w:rsidR="005F7BE0" w:rsidRPr="00834651">
              <w:t>9</w:t>
            </w:r>
            <w:r w:rsidRPr="00834651">
              <w:t xml:space="preserve"> CEU hours</w:t>
            </w:r>
            <w:r w:rsidR="00437A6B" w:rsidRPr="00834651">
              <w:t xml:space="preserve"> at CLEC.</w:t>
            </w:r>
            <w:r w:rsidRPr="00834651">
              <w:t xml:space="preserve"> </w:t>
            </w:r>
            <w:r w:rsidR="00437A6B" w:rsidRPr="00834651">
              <w:t xml:space="preserve">Additional CEU hours were obtained through the purchase of online opportunities together they </w:t>
            </w:r>
            <w:r w:rsidRPr="00834651">
              <w:t>satisf</w:t>
            </w:r>
            <w:r w:rsidR="00437A6B" w:rsidRPr="00834651">
              <w:t>ied</w:t>
            </w:r>
            <w:r w:rsidRPr="00834651">
              <w:t xml:space="preserve"> the NAACLS 36 CEU every three years requirement</w:t>
            </w:r>
            <w:r w:rsidR="00437A6B" w:rsidRPr="00834651">
              <w:t xml:space="preserve"> for the program coordinator</w:t>
            </w:r>
          </w:p>
        </w:tc>
      </w:tr>
      <w:tr w:rsidR="00DA6574" w14:paraId="6C77D78C" w14:textId="77777777" w:rsidTr="00713557">
        <w:trPr>
          <w:trHeight w:val="54"/>
        </w:trPr>
        <w:tc>
          <w:tcPr>
            <w:tcW w:w="3226" w:type="dxa"/>
          </w:tcPr>
          <w:p w14:paraId="0A8A4242" w14:textId="77777777" w:rsidR="00DA6574" w:rsidRPr="00764D95" w:rsidRDefault="00DA6574" w:rsidP="00DA6574">
            <w:r w:rsidRPr="00725514">
              <w:lastRenderedPageBreak/>
              <w:t>Continue to develop and implement written Student Learning Outcomes (SLOs) for all courses in the department to more adequately document and enhance reporting of stud</w:t>
            </w:r>
            <w:r>
              <w:t>ent progress in the department.</w:t>
            </w:r>
          </w:p>
          <w:p w14:paraId="751C9186" w14:textId="77777777" w:rsidR="00DA6574" w:rsidRPr="007B149C" w:rsidRDefault="00DA6574" w:rsidP="00DA6574">
            <w:pPr>
              <w:rPr>
                <w:b/>
              </w:rPr>
            </w:pPr>
            <w:r w:rsidRPr="007B149C">
              <w:rPr>
                <w:b/>
              </w:rPr>
              <w:t>Program Outcome</w:t>
            </w:r>
          </w:p>
          <w:p w14:paraId="6407C0AE" w14:textId="77777777" w:rsidR="00DA6574" w:rsidRDefault="00DA6574" w:rsidP="00DA6574">
            <w:r w:rsidRPr="007B149C">
              <w:t>#4. Employers and graduates returning surveys will report 85% satisfaction with educational preparation</w:t>
            </w:r>
          </w:p>
          <w:p w14:paraId="1877CEEC" w14:textId="77777777" w:rsidR="00DA6574" w:rsidRPr="000307C2" w:rsidRDefault="00DA6574" w:rsidP="00DA6574">
            <w:pPr>
              <w:rPr>
                <w:b/>
                <w:bCs/>
              </w:rPr>
            </w:pPr>
            <w:r w:rsidRPr="000307C2">
              <w:rPr>
                <w:b/>
                <w:bCs/>
              </w:rPr>
              <w:t>NAACLS Standard VII.D.</w:t>
            </w:r>
          </w:p>
          <w:p w14:paraId="4749E2F0" w14:textId="77777777" w:rsidR="00DA6574" w:rsidRDefault="00DA6574" w:rsidP="00DA6574">
            <w:r>
              <w:t>There must be an advisory committee composed of individuals from the community of interest.</w:t>
            </w:r>
          </w:p>
          <w:p w14:paraId="7893FBA8" w14:textId="77777777" w:rsidR="00DA6574" w:rsidRDefault="00DA6574" w:rsidP="00DA6574">
            <w:pPr>
              <w:rPr>
                <w:b/>
              </w:rPr>
            </w:pPr>
            <w:r>
              <w:rPr>
                <w:b/>
              </w:rPr>
              <w:t>College Action Priority #2</w:t>
            </w:r>
          </w:p>
          <w:p w14:paraId="33116117" w14:textId="602A6081" w:rsidR="00DA6574" w:rsidRDefault="00DA6574" w:rsidP="00DA6574">
            <w:r>
              <w:t>Increase transparency, visibility and communication inside and outside of the college</w:t>
            </w:r>
          </w:p>
        </w:tc>
        <w:tc>
          <w:tcPr>
            <w:tcW w:w="3267" w:type="dxa"/>
            <w:tcBorders>
              <w:left w:val="single" w:sz="6" w:space="0" w:color="auto"/>
              <w:right w:val="single" w:sz="4" w:space="0" w:color="auto"/>
            </w:tcBorders>
          </w:tcPr>
          <w:p w14:paraId="500C9D7B" w14:textId="77777777" w:rsidR="00DA6574" w:rsidRDefault="00DA6574" w:rsidP="00DA6574">
            <w:r>
              <w:t>1. Review SLOs annually and revise as necessary based upon input from faculty, graduates, employers, and advisory committee members.</w:t>
            </w:r>
          </w:p>
          <w:p w14:paraId="6E0F8C5B" w14:textId="77777777" w:rsidR="00DA6574" w:rsidRDefault="00DA6574" w:rsidP="00DA6574">
            <w:r>
              <w:t>1. Funding for two advisory meetings annually</w:t>
            </w:r>
          </w:p>
          <w:p w14:paraId="6588827B" w14:textId="77777777" w:rsidR="00DA6574" w:rsidRDefault="00DA6574" w:rsidP="00DA6574">
            <w:r>
              <w:t>Estimated cost: $450.00</w:t>
            </w:r>
          </w:p>
          <w:p w14:paraId="3CC68872" w14:textId="77777777" w:rsidR="00DA6574" w:rsidRDefault="00DA6574" w:rsidP="00DA6574"/>
        </w:tc>
        <w:tc>
          <w:tcPr>
            <w:tcW w:w="3217" w:type="dxa"/>
            <w:tcBorders>
              <w:left w:val="single" w:sz="4" w:space="0" w:color="auto"/>
              <w:right w:val="single" w:sz="6" w:space="0" w:color="auto"/>
            </w:tcBorders>
          </w:tcPr>
          <w:p w14:paraId="276D5622" w14:textId="75F3D0AE" w:rsidR="00DA6574" w:rsidRDefault="00DA6574" w:rsidP="00DA6574">
            <w:r>
              <w:t>This goal has not been completed</w:t>
            </w:r>
            <w:r w:rsidR="00C04E6D">
              <w:t>.</w:t>
            </w:r>
          </w:p>
        </w:tc>
        <w:tc>
          <w:tcPr>
            <w:tcW w:w="3234" w:type="dxa"/>
            <w:tcBorders>
              <w:left w:val="single" w:sz="6" w:space="0" w:color="auto"/>
            </w:tcBorders>
          </w:tcPr>
          <w:p w14:paraId="4E4A663D" w14:textId="77777777" w:rsidR="00DA6574" w:rsidRDefault="00DA6574" w:rsidP="00DA6574">
            <w:r w:rsidRPr="00834651">
              <w:t xml:space="preserve">The advisory committee met this year in </w:t>
            </w:r>
            <w:r w:rsidR="005F7BE0" w:rsidRPr="00834651">
              <w:t>November and is scheduled for a second meeting in May</w:t>
            </w:r>
            <w:r w:rsidRPr="00834651">
              <w:t xml:space="preserve">. Discussion at the </w:t>
            </w:r>
            <w:r w:rsidR="005F7BE0" w:rsidRPr="00834651">
              <w:t>fall</w:t>
            </w:r>
            <w:r w:rsidRPr="00834651">
              <w:t xml:space="preserve"> meeting revolved around program statistics related to curriculum improvement, BOC testing and clinical rotations.</w:t>
            </w:r>
            <w:r w:rsidRPr="00C83132">
              <w:t xml:space="preserve"> </w:t>
            </w:r>
          </w:p>
          <w:p w14:paraId="288E0C3A" w14:textId="0EAD4120" w:rsidR="00834651" w:rsidRDefault="00834651" w:rsidP="00DA6574">
            <w:r>
              <w:t>Due to COVID-19 May meeting will be held virtual and is tentatively scheduled for May 19, 2020</w:t>
            </w:r>
          </w:p>
        </w:tc>
      </w:tr>
      <w:tr w:rsidR="00DA6574" w14:paraId="24F80BD5" w14:textId="77777777" w:rsidTr="0038398C">
        <w:trPr>
          <w:trHeight w:val="54"/>
        </w:trPr>
        <w:tc>
          <w:tcPr>
            <w:tcW w:w="3226" w:type="dxa"/>
            <w:tcBorders>
              <w:right w:val="single" w:sz="6" w:space="0" w:color="auto"/>
            </w:tcBorders>
          </w:tcPr>
          <w:p w14:paraId="7F066517" w14:textId="77777777" w:rsidR="00DA6574" w:rsidRPr="005A01F0" w:rsidRDefault="00DA6574" w:rsidP="00DA6574">
            <w:r w:rsidRPr="005A01F0">
              <w:t>Develop contracts with additional healthcare settings to increase the number of student enrollment in the program.</w:t>
            </w:r>
          </w:p>
          <w:p w14:paraId="33611193" w14:textId="77777777" w:rsidR="00DA6574" w:rsidRPr="005A01F0" w:rsidRDefault="00DA6574" w:rsidP="00DA6574">
            <w:pPr>
              <w:rPr>
                <w:b/>
              </w:rPr>
            </w:pPr>
            <w:r w:rsidRPr="005A01F0">
              <w:rPr>
                <w:b/>
              </w:rPr>
              <w:t>Program Outcome</w:t>
            </w:r>
          </w:p>
          <w:p w14:paraId="2DEC15BC" w14:textId="77777777" w:rsidR="00DA6574" w:rsidRDefault="00DA6574" w:rsidP="00DA6574">
            <w:r w:rsidRPr="005A01F0">
              <w:t>#1. 70% of students admitted to the MLT program will complete as technically competent individuals ready to enter the laboratory workforce</w:t>
            </w:r>
            <w:r>
              <w:t>.</w:t>
            </w:r>
          </w:p>
          <w:p w14:paraId="550AA543" w14:textId="77777777" w:rsidR="00DA6574" w:rsidRDefault="00DA6574" w:rsidP="00DA6574">
            <w:pPr>
              <w:rPr>
                <w:b/>
              </w:rPr>
            </w:pPr>
            <w:r>
              <w:rPr>
                <w:b/>
              </w:rPr>
              <w:t>College Action Priority #2</w:t>
            </w:r>
          </w:p>
          <w:p w14:paraId="300D5CA1" w14:textId="1472DE9F" w:rsidR="00DA6574" w:rsidRDefault="00DA6574" w:rsidP="00DA6574">
            <w:r>
              <w:t>Increase transparency, visibility and communication inside and outside of the college</w:t>
            </w:r>
          </w:p>
        </w:tc>
        <w:tc>
          <w:tcPr>
            <w:tcW w:w="3267" w:type="dxa"/>
            <w:tcBorders>
              <w:left w:val="single" w:sz="6" w:space="0" w:color="auto"/>
              <w:right w:val="single" w:sz="4" w:space="0" w:color="auto"/>
            </w:tcBorders>
          </w:tcPr>
          <w:p w14:paraId="3DCBDE50" w14:textId="77777777" w:rsidR="002331EC" w:rsidRPr="005A01F0" w:rsidRDefault="002331EC" w:rsidP="002331EC">
            <w:r w:rsidRPr="005A01F0">
              <w:t xml:space="preserve">1. Maintain </w:t>
            </w:r>
            <w:r>
              <w:t>Clinical</w:t>
            </w:r>
            <w:r w:rsidRPr="005A01F0">
              <w:t xml:space="preserve"> affiliations with area hospitals and clinics.</w:t>
            </w:r>
          </w:p>
          <w:p w14:paraId="3DBA9B24" w14:textId="77777777" w:rsidR="00DA6574" w:rsidRDefault="002331EC" w:rsidP="002331EC">
            <w:r w:rsidRPr="005A01F0">
              <w:t xml:space="preserve">2. </w:t>
            </w:r>
            <w:r>
              <w:t>Continue to i</w:t>
            </w:r>
            <w:r w:rsidRPr="005A01F0">
              <w:t>nitiate contact with large clinics and free</w:t>
            </w:r>
            <w:r>
              <w:t>-</w:t>
            </w:r>
            <w:r w:rsidRPr="005A01F0">
              <w:t xml:space="preserve"> standing Emergency Departments for possible core lab </w:t>
            </w:r>
            <w:r>
              <w:t>Clinical</w:t>
            </w:r>
            <w:r w:rsidRPr="005A01F0">
              <w:t xml:space="preserve"> rotations as well as phlebotomy rotations</w:t>
            </w:r>
          </w:p>
          <w:p w14:paraId="3ADE90EB" w14:textId="77777777" w:rsidR="00CD6D23" w:rsidRPr="005A01F0" w:rsidRDefault="00CD6D23" w:rsidP="00CD6D23">
            <w:r w:rsidRPr="005A01F0">
              <w:t xml:space="preserve">1. Faculty travel expenses </w:t>
            </w:r>
          </w:p>
          <w:p w14:paraId="0BA760A3" w14:textId="076A53E0" w:rsidR="00CD6D23" w:rsidRDefault="00CD6D23" w:rsidP="00CD6D23">
            <w:r w:rsidRPr="005A01F0">
              <w:t>Estimated cost:  $1,500.00</w:t>
            </w:r>
          </w:p>
        </w:tc>
        <w:tc>
          <w:tcPr>
            <w:tcW w:w="3217" w:type="dxa"/>
            <w:tcBorders>
              <w:left w:val="single" w:sz="4" w:space="0" w:color="auto"/>
              <w:right w:val="single" w:sz="6" w:space="0" w:color="auto"/>
            </w:tcBorders>
          </w:tcPr>
          <w:p w14:paraId="2F330005" w14:textId="103FD78E" w:rsidR="00DA6574" w:rsidRDefault="00A43134" w:rsidP="00DA6574">
            <w:r>
              <w:t>This goal was completed</w:t>
            </w:r>
          </w:p>
        </w:tc>
        <w:tc>
          <w:tcPr>
            <w:tcW w:w="3234" w:type="dxa"/>
            <w:tcBorders>
              <w:left w:val="single" w:sz="6" w:space="0" w:color="auto"/>
            </w:tcBorders>
          </w:tcPr>
          <w:p w14:paraId="3A4DCBCD" w14:textId="0A03AFC8" w:rsidR="00A43134" w:rsidRPr="00C72669" w:rsidRDefault="00A43134" w:rsidP="00A43134">
            <w:r w:rsidRPr="00C72669">
              <w:t>The program continues to keep in contact with clinical affiliates. We are continually looking at new relationships</w:t>
            </w:r>
            <w:r w:rsidR="00AE014F">
              <w:t>. Currently we are in contract negotiation with the Baptist System in Montgomery.</w:t>
            </w:r>
          </w:p>
          <w:p w14:paraId="559037D6" w14:textId="0A0A3A88" w:rsidR="00A43134" w:rsidRPr="00C72669" w:rsidRDefault="00A43134" w:rsidP="00A43134">
            <w:r w:rsidRPr="00C72669">
              <w:t>This will help alleviate some of our clinical placement issues</w:t>
            </w:r>
            <w:r w:rsidR="00AE014F">
              <w:t xml:space="preserve"> especially for those that commute from south of Birmingham</w:t>
            </w:r>
          </w:p>
          <w:p w14:paraId="18BAE7B5" w14:textId="77777777" w:rsidR="00A43134" w:rsidRPr="00C72669" w:rsidRDefault="00A43134" w:rsidP="00A43134"/>
          <w:p w14:paraId="5557D1DC" w14:textId="77777777" w:rsidR="00A43134" w:rsidRPr="00C72669" w:rsidRDefault="00A43134" w:rsidP="00A43134">
            <w:r w:rsidRPr="00C72669">
              <w:t>Our programs retention/graduation rates continue to fall within the NAACLS benchmark. Per NAACLS guidelines we count retention/graduation numbers for students entering the third semester of the MLT program. Our placement statistics are near 100% for the last three</w:t>
            </w:r>
            <w:r>
              <w:t>-</w:t>
            </w:r>
            <w:r w:rsidRPr="00C72669">
              <w:t>year period</w:t>
            </w:r>
          </w:p>
          <w:p w14:paraId="52947923" w14:textId="77777777" w:rsidR="00DA6574" w:rsidRDefault="00DA6574" w:rsidP="00DA6574"/>
        </w:tc>
      </w:tr>
      <w:tr w:rsidR="00DA6574" w14:paraId="61FD0432" w14:textId="77777777" w:rsidTr="0038398C">
        <w:trPr>
          <w:trHeight w:val="54"/>
        </w:trPr>
        <w:tc>
          <w:tcPr>
            <w:tcW w:w="3226" w:type="dxa"/>
            <w:tcBorders>
              <w:right w:val="single" w:sz="6" w:space="0" w:color="auto"/>
            </w:tcBorders>
          </w:tcPr>
          <w:p w14:paraId="3759E047" w14:textId="77777777" w:rsidR="00DA6574" w:rsidRDefault="00DA6574" w:rsidP="00DA6574">
            <w:pPr>
              <w:rPr>
                <w:b/>
              </w:rPr>
            </w:pPr>
            <w:r>
              <w:rPr>
                <w:b/>
              </w:rPr>
              <w:t>College Action Priority #7</w:t>
            </w:r>
          </w:p>
          <w:p w14:paraId="0DFDC356" w14:textId="78097D95" w:rsidR="00DA6574" w:rsidRPr="00351CBC" w:rsidRDefault="00DA6574" w:rsidP="00DA6574">
            <w:pPr>
              <w:rPr>
                <w:bCs/>
              </w:rPr>
            </w:pPr>
            <w:r>
              <w:rPr>
                <w:bCs/>
              </w:rPr>
              <w:t xml:space="preserve">Increase </w:t>
            </w:r>
            <w:r w:rsidR="00AE014F">
              <w:rPr>
                <w:bCs/>
              </w:rPr>
              <w:t xml:space="preserve">hourly </w:t>
            </w:r>
            <w:r>
              <w:rPr>
                <w:bCs/>
              </w:rPr>
              <w:t>pay for adjunct instructors</w:t>
            </w:r>
          </w:p>
          <w:p w14:paraId="21A631BE" w14:textId="77777777" w:rsidR="00DA6574" w:rsidRDefault="00DA6574" w:rsidP="00DA6574"/>
          <w:p w14:paraId="7FCF15F8" w14:textId="77777777" w:rsidR="00DA6574" w:rsidRDefault="00DA6574" w:rsidP="00DA6574"/>
        </w:tc>
        <w:tc>
          <w:tcPr>
            <w:tcW w:w="3267" w:type="dxa"/>
            <w:tcBorders>
              <w:left w:val="single" w:sz="6" w:space="0" w:color="auto"/>
              <w:right w:val="single" w:sz="4" w:space="0" w:color="auto"/>
            </w:tcBorders>
          </w:tcPr>
          <w:p w14:paraId="29417C29" w14:textId="77777777" w:rsidR="000C1BDA" w:rsidRDefault="000C1BDA" w:rsidP="000C1BDA">
            <w:r>
              <w:t>1. Increase L-19 pay</w:t>
            </w:r>
          </w:p>
          <w:p w14:paraId="5044E9B1" w14:textId="77777777" w:rsidR="000C1BDA" w:rsidRDefault="000C1BDA" w:rsidP="000C1BDA">
            <w:r>
              <w:t xml:space="preserve">Adjunct faculty pay increased to $550.00 per credit hour. </w:t>
            </w:r>
          </w:p>
          <w:p w14:paraId="7EC5F8FF" w14:textId="77777777" w:rsidR="000C1BDA" w:rsidRDefault="000C1BDA" w:rsidP="000C1BDA">
            <w:r>
              <w:t xml:space="preserve">Currently my L19 pay is $24.00 for Lab instructor positions and $27.00 for MLT Instructor hourly pay. Market analysis conducted with area hospitals has indicated that MT pay is 32.00-33.00 Per </w:t>
            </w:r>
            <w:r>
              <w:lastRenderedPageBreak/>
              <w:t>hour. I would like to increase Lab instructor position pay to $30.00 per hour and MLT Instructor pay to $33.00 per hour</w:t>
            </w:r>
          </w:p>
          <w:p w14:paraId="468AC407" w14:textId="77777777" w:rsidR="00DA6574" w:rsidRDefault="00DA6574" w:rsidP="00DA6574"/>
        </w:tc>
        <w:tc>
          <w:tcPr>
            <w:tcW w:w="3217" w:type="dxa"/>
            <w:tcBorders>
              <w:left w:val="single" w:sz="4" w:space="0" w:color="auto"/>
              <w:right w:val="single" w:sz="6" w:space="0" w:color="auto"/>
            </w:tcBorders>
          </w:tcPr>
          <w:p w14:paraId="548F20FA" w14:textId="7909952D" w:rsidR="00DA6574" w:rsidRDefault="006F30C7" w:rsidP="00DA6574">
            <w:r>
              <w:lastRenderedPageBreak/>
              <w:t>This goal is completed</w:t>
            </w:r>
          </w:p>
        </w:tc>
        <w:tc>
          <w:tcPr>
            <w:tcW w:w="3234" w:type="dxa"/>
            <w:tcBorders>
              <w:left w:val="single" w:sz="6" w:space="0" w:color="auto"/>
            </w:tcBorders>
          </w:tcPr>
          <w:p w14:paraId="093D125A" w14:textId="77777777" w:rsidR="00DA6574" w:rsidRDefault="00834651" w:rsidP="00DA6574">
            <w:r>
              <w:t>L-19 Didactic instructors are now paid $33.00 per contact hour.</w:t>
            </w:r>
          </w:p>
          <w:p w14:paraId="11F0E7E5" w14:textId="55A78C5A" w:rsidR="00834651" w:rsidRDefault="00834651" w:rsidP="00DA6574">
            <w:r>
              <w:t>L-19 Lab instructors are paid $30.00 per contact hour. This is now consistent with other career technical L-19 employees.</w:t>
            </w:r>
          </w:p>
        </w:tc>
      </w:tr>
      <w:tr w:rsidR="00DA6574" w:rsidRPr="002A44E2" w14:paraId="16830BC7" w14:textId="77777777" w:rsidTr="0038398C">
        <w:tc>
          <w:tcPr>
            <w:tcW w:w="6493" w:type="dxa"/>
            <w:gridSpan w:val="2"/>
            <w:tcBorders>
              <w:right w:val="single" w:sz="4" w:space="0" w:color="auto"/>
            </w:tcBorders>
          </w:tcPr>
          <w:p w14:paraId="4296E15C" w14:textId="77777777" w:rsidR="00DA6574" w:rsidRPr="002A44E2" w:rsidRDefault="00DA6574" w:rsidP="00DA6574">
            <w:pPr>
              <w:rPr>
                <w:sz w:val="12"/>
                <w:szCs w:val="12"/>
              </w:rPr>
            </w:pPr>
          </w:p>
          <w:p w14:paraId="31504F2E" w14:textId="77777777" w:rsidR="00DA6574" w:rsidRPr="002A44E2" w:rsidRDefault="00DA6574" w:rsidP="00DA6574">
            <w:pPr>
              <w:rPr>
                <w:b/>
                <w:sz w:val="12"/>
                <w:szCs w:val="12"/>
              </w:rPr>
            </w:pPr>
          </w:p>
          <w:p w14:paraId="70FA597F" w14:textId="644DFD0F" w:rsidR="00DA6574" w:rsidRDefault="00DA6574" w:rsidP="00DA657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834651">
              <w:rPr>
                <w:b/>
              </w:rPr>
              <w:t xml:space="preserve"> 4/21/2020</w:t>
            </w:r>
          </w:p>
        </w:tc>
        <w:tc>
          <w:tcPr>
            <w:tcW w:w="6451" w:type="dxa"/>
            <w:gridSpan w:val="2"/>
            <w:tcBorders>
              <w:left w:val="single" w:sz="4" w:space="0" w:color="auto"/>
            </w:tcBorders>
          </w:tcPr>
          <w:p w14:paraId="4F484968" w14:textId="77777777" w:rsidR="00DA6574" w:rsidRPr="00490115" w:rsidRDefault="00DA6574" w:rsidP="00DA6574">
            <w:pPr>
              <w:rPr>
                <w:sz w:val="12"/>
                <w:szCs w:val="12"/>
              </w:rPr>
            </w:pPr>
          </w:p>
          <w:p w14:paraId="233506C1" w14:textId="77777777" w:rsidR="00DA6574" w:rsidRPr="00490115" w:rsidRDefault="00DA6574" w:rsidP="00DA6574">
            <w:pPr>
              <w:rPr>
                <w:sz w:val="12"/>
                <w:szCs w:val="12"/>
              </w:rPr>
            </w:pPr>
          </w:p>
          <w:p w14:paraId="4450EA23" w14:textId="1AB0CB2F" w:rsidR="00DA6574" w:rsidRDefault="00DA6574" w:rsidP="00DA6574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834651">
              <w:rPr>
                <w:b/>
              </w:rPr>
              <w:t xml:space="preserve"> Candy Hill</w:t>
            </w:r>
          </w:p>
          <w:p w14:paraId="6F331A40" w14:textId="77777777" w:rsidR="00DA6574" w:rsidRPr="002A44E2" w:rsidRDefault="00DA6574" w:rsidP="00DA6574">
            <w:pPr>
              <w:rPr>
                <w:b/>
                <w:sz w:val="8"/>
                <w:szCs w:val="8"/>
              </w:rPr>
            </w:pPr>
          </w:p>
        </w:tc>
      </w:tr>
    </w:tbl>
    <w:p w14:paraId="3C6794F4" w14:textId="77777777"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57"/>
    <w:rsid w:val="00006704"/>
    <w:rsid w:val="00043345"/>
    <w:rsid w:val="000A3F5B"/>
    <w:rsid w:val="000C1BDA"/>
    <w:rsid w:val="001037E1"/>
    <w:rsid w:val="00114B8D"/>
    <w:rsid w:val="00117665"/>
    <w:rsid w:val="0014754A"/>
    <w:rsid w:val="00203601"/>
    <w:rsid w:val="002331EC"/>
    <w:rsid w:val="00281D6B"/>
    <w:rsid w:val="002B6B2E"/>
    <w:rsid w:val="00330DC7"/>
    <w:rsid w:val="00353783"/>
    <w:rsid w:val="0038398C"/>
    <w:rsid w:val="003F4959"/>
    <w:rsid w:val="00425F46"/>
    <w:rsid w:val="00434420"/>
    <w:rsid w:val="00437A6B"/>
    <w:rsid w:val="00465E73"/>
    <w:rsid w:val="00481A70"/>
    <w:rsid w:val="00485838"/>
    <w:rsid w:val="004C7EB5"/>
    <w:rsid w:val="004F3BD7"/>
    <w:rsid w:val="004F51E4"/>
    <w:rsid w:val="00580BFA"/>
    <w:rsid w:val="005E0BCD"/>
    <w:rsid w:val="005F7BE0"/>
    <w:rsid w:val="00634A83"/>
    <w:rsid w:val="00676B38"/>
    <w:rsid w:val="006F30C7"/>
    <w:rsid w:val="006F55C3"/>
    <w:rsid w:val="006F5F7E"/>
    <w:rsid w:val="006F6E91"/>
    <w:rsid w:val="007376E4"/>
    <w:rsid w:val="00754020"/>
    <w:rsid w:val="00760752"/>
    <w:rsid w:val="00777569"/>
    <w:rsid w:val="00805910"/>
    <w:rsid w:val="008311B7"/>
    <w:rsid w:val="00832B41"/>
    <w:rsid w:val="00834651"/>
    <w:rsid w:val="00857D86"/>
    <w:rsid w:val="008A060F"/>
    <w:rsid w:val="008A6CCB"/>
    <w:rsid w:val="008E164C"/>
    <w:rsid w:val="009112BE"/>
    <w:rsid w:val="009B1E4F"/>
    <w:rsid w:val="00A43134"/>
    <w:rsid w:val="00A43CEE"/>
    <w:rsid w:val="00AB7870"/>
    <w:rsid w:val="00AE014F"/>
    <w:rsid w:val="00B271E6"/>
    <w:rsid w:val="00B92D18"/>
    <w:rsid w:val="00BA56DB"/>
    <w:rsid w:val="00BD17EF"/>
    <w:rsid w:val="00C04E6D"/>
    <w:rsid w:val="00C0696D"/>
    <w:rsid w:val="00C61BEA"/>
    <w:rsid w:val="00C74130"/>
    <w:rsid w:val="00C965BE"/>
    <w:rsid w:val="00CA3C51"/>
    <w:rsid w:val="00CA4C97"/>
    <w:rsid w:val="00CC2FCE"/>
    <w:rsid w:val="00CD6D23"/>
    <w:rsid w:val="00CE0A8E"/>
    <w:rsid w:val="00D13F66"/>
    <w:rsid w:val="00D375ED"/>
    <w:rsid w:val="00D8470A"/>
    <w:rsid w:val="00DA6574"/>
    <w:rsid w:val="00DB3539"/>
    <w:rsid w:val="00DD6BD2"/>
    <w:rsid w:val="00E46427"/>
    <w:rsid w:val="00E508EF"/>
    <w:rsid w:val="00E6018F"/>
    <w:rsid w:val="00E70C73"/>
    <w:rsid w:val="00EA2D01"/>
    <w:rsid w:val="00F2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8E1B"/>
  <w15:docId w15:val="{35F26938-6204-4008-86AA-CF58BA16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7D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@876.8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Lisa Kimble</cp:lastModifiedBy>
  <cp:revision>2</cp:revision>
  <dcterms:created xsi:type="dcterms:W3CDTF">2020-04-21T13:57:00Z</dcterms:created>
  <dcterms:modified xsi:type="dcterms:W3CDTF">2020-04-21T13:57:00Z</dcterms:modified>
</cp:coreProperties>
</file>