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18" w:rsidRDefault="00FB0018"/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Pr="00B81C69" w:rsidRDefault="005B236E" w:rsidP="007B0814">
            <w:pPr>
              <w:rPr>
                <w:b/>
                <w:sz w:val="24"/>
                <w:szCs w:val="24"/>
              </w:rPr>
            </w:pPr>
            <w:r w:rsidRPr="005B236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3.65pt;margin-top:29.95pt;width:194.45pt;height:20.25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" fillcolor="white [3201]" stroked="f" strokeweight=".5pt">
                  <v:textbox>
                    <w:txbxContent>
                      <w:p w:rsidR="007A6065" w:rsidRDefault="007A6065" w:rsidP="007A6065">
                        <w:r>
                          <w:t>Math</w:t>
                        </w:r>
                        <w:r w:rsidR="00FD53D1">
                          <w:t>ematics</w:t>
                        </w:r>
                        <w:r>
                          <w:t>/Engineering/Physical Science</w:t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A01FED" w:rsidRDefault="00AB45D1" w:rsidP="00A01FED">
            <w:r>
              <w:t>1.</w:t>
            </w:r>
            <w:r w:rsidR="0067298D">
              <w:t xml:space="preserve"> </w:t>
            </w:r>
            <w:r>
              <w:t xml:space="preserve"> </w:t>
            </w:r>
            <w:r w:rsidR="00C4366B">
              <w:t>Add 2</w:t>
            </w:r>
            <w:r w:rsidR="00A031EE">
              <w:t xml:space="preserve"> projection unit</w:t>
            </w:r>
            <w:r w:rsidR="00C4366B">
              <w:t>s,</w:t>
            </w:r>
            <w:r w:rsidR="00A031EE">
              <w:t xml:space="preserve"> including a </w:t>
            </w:r>
            <w:r w:rsidR="00C4366B">
              <w:t xml:space="preserve">computer, </w:t>
            </w:r>
            <w:r w:rsidR="00A031EE">
              <w:t xml:space="preserve">screen </w:t>
            </w:r>
            <w:r w:rsidR="00A01FED">
              <w:t xml:space="preserve">and document camera to one Math </w:t>
            </w:r>
            <w:r w:rsidR="00C4366B">
              <w:t xml:space="preserve">and </w:t>
            </w:r>
            <w:r w:rsidR="00A031EE">
              <w:t>one</w:t>
            </w:r>
            <w:r w:rsidR="00A01FED">
              <w:t xml:space="preserve"> Chemistry classroom</w:t>
            </w:r>
            <w:r w:rsidR="00C4366B">
              <w:t>.</w:t>
            </w:r>
          </w:p>
          <w:p w:rsidR="00F26A57" w:rsidRDefault="00F26A57" w:rsidP="007B0814"/>
          <w:p w:rsidR="00C4366B" w:rsidRDefault="00C4366B" w:rsidP="007B0814"/>
          <w:p w:rsidR="00C4366B" w:rsidRDefault="00C4366B" w:rsidP="007B0814"/>
          <w:p w:rsidR="00C4366B" w:rsidRDefault="00C4366B" w:rsidP="007B0814"/>
          <w:p w:rsidR="00C4366B" w:rsidRDefault="00C4366B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B0258E" w:rsidP="007B0814">
            <w:r>
              <w:t>F</w:t>
            </w:r>
            <w:r w:rsidR="00C4366B">
              <w:t>unding estimated to purchase 2</w:t>
            </w:r>
            <w:r w:rsidR="001D23F4">
              <w:t xml:space="preserve"> </w:t>
            </w:r>
            <w:r>
              <w:t>projection unit</w:t>
            </w:r>
            <w:r w:rsidR="001D23F4">
              <w:t>s</w:t>
            </w:r>
            <w:r>
              <w:t xml:space="preserve"> including document camera</w:t>
            </w:r>
            <w:r w:rsidR="001D23F4">
              <w:t xml:space="preserve">s </w:t>
            </w:r>
            <w:r>
              <w:t>and screen</w:t>
            </w:r>
            <w:r w:rsidR="001D23F4">
              <w:t>s</w:t>
            </w:r>
            <w:r w:rsidR="00A031EE">
              <w:t xml:space="preserve"> and </w:t>
            </w:r>
            <w:r w:rsidR="00C4366B">
              <w:t xml:space="preserve">only </w:t>
            </w:r>
            <w:r w:rsidR="00A031EE">
              <w:t>1 computer</w:t>
            </w:r>
            <w:r w:rsidR="000E59ED">
              <w:t xml:space="preserve"> (desktop)</w:t>
            </w:r>
            <w:r w:rsidR="001D23F4">
              <w:t>:</w:t>
            </w:r>
          </w:p>
          <w:p w:rsidR="001D23F4" w:rsidRDefault="00BE3B23" w:rsidP="00BE3B23">
            <w:r>
              <w:t xml:space="preserve">Projection </w:t>
            </w:r>
            <w:r w:rsidR="001D23F4">
              <w:t>unit with screen @ $1746</w:t>
            </w:r>
            <w:r w:rsidR="00A031EE">
              <w:t>.41 each,</w:t>
            </w:r>
            <w:r w:rsidR="00FB0018">
              <w:t xml:space="preserve"> document camera @ </w:t>
            </w:r>
            <w:r w:rsidR="001D23F4">
              <w:t>2192.00 each</w:t>
            </w:r>
            <w:r w:rsidR="004632F4">
              <w:t xml:space="preserve"> and computer @$1500</w:t>
            </w:r>
            <w:r w:rsidR="00A031EE">
              <w:t>.</w:t>
            </w:r>
          </w:p>
          <w:p w:rsidR="00391584" w:rsidRDefault="00391584" w:rsidP="00BE3B23"/>
          <w:p w:rsidR="00C4366B" w:rsidRDefault="00A031EE" w:rsidP="00A031EE">
            <w:r>
              <w:t>This equipment provides</w:t>
            </w:r>
            <w:r w:rsidR="00391584">
              <w:t xml:space="preserve"> </w:t>
            </w:r>
            <w:r>
              <w:t>an efficient, effective, and easy dissemination</w:t>
            </w:r>
            <w:r w:rsidR="00C4366B">
              <w:t xml:space="preserve"> of </w:t>
            </w:r>
            <w:proofErr w:type="gramStart"/>
            <w:r w:rsidR="00C4366B">
              <w:t>i</w:t>
            </w:r>
            <w:r>
              <w:t>nformation</w:t>
            </w:r>
            <w:r w:rsidR="00C4366B">
              <w:t xml:space="preserve">  for</w:t>
            </w:r>
            <w:proofErr w:type="gramEnd"/>
            <w:r w:rsidR="00C4366B">
              <w:t xml:space="preserve"> both </w:t>
            </w:r>
            <w:r>
              <w:t xml:space="preserve"> students and faculty.</w:t>
            </w:r>
            <w:r w:rsidR="00391584">
              <w:t xml:space="preserve"> </w:t>
            </w:r>
            <w:r w:rsidR="00C4366B">
              <w:t xml:space="preserve"> It, also, provides </w:t>
            </w:r>
            <w:r w:rsidR="00391584">
              <w:t xml:space="preserve">face-to-face delivery of information, which </w:t>
            </w:r>
            <w:r w:rsidR="0067298D">
              <w:t xml:space="preserve">gives </w:t>
            </w:r>
            <w:r w:rsidR="00391584">
              <w:t>the instructor immediate feedback concerning how the stu</w:t>
            </w:r>
            <w:r w:rsidR="00C4366B">
              <w:t>dents are progressing</w:t>
            </w:r>
            <w:r w:rsidR="00391584">
              <w:t>.</w:t>
            </w:r>
          </w:p>
          <w:p w:rsidR="00F521D6" w:rsidRDefault="00F521D6" w:rsidP="00A031EE">
            <w:r>
              <w:t>(</w:t>
            </w:r>
            <w:r w:rsidR="00C4366B">
              <w:t xml:space="preserve">The computer </w:t>
            </w:r>
            <w:r>
              <w:t>is</w:t>
            </w:r>
            <w:r w:rsidR="00C4366B">
              <w:t xml:space="preserve"> for a Chemistry classroom.</w:t>
            </w:r>
            <w:proofErr w:type="gramStart"/>
            <w:r>
              <w:t>)</w:t>
            </w:r>
            <w:r w:rsidR="00A031EE">
              <w:t xml:space="preserve"> </w:t>
            </w:r>
            <w:proofErr w:type="gramEnd"/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8226A0" w:rsidP="00570CF5">
            <w:r>
              <w:t>Thi</w:t>
            </w:r>
            <w:r w:rsidR="00570CF5">
              <w:t xml:space="preserve">s </w:t>
            </w:r>
            <w:r w:rsidR="009F0886">
              <w:t>package of</w:t>
            </w:r>
            <w:r>
              <w:t xml:space="preserve"> </w:t>
            </w:r>
            <w:r w:rsidR="00BE3B23">
              <w:t>equipment</w:t>
            </w:r>
            <w:r w:rsidR="00B0258E">
              <w:t xml:space="preserve"> </w:t>
            </w:r>
            <w:r>
              <w:t xml:space="preserve">was not purchased </w:t>
            </w:r>
            <w:r w:rsidR="00B0258E">
              <w:t>in 2018-19 or 2019-20</w:t>
            </w:r>
            <w:r w:rsidR="004D565F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570CF5" w:rsidP="00616707">
            <w:r>
              <w:t>This type of equipment upgrade for the</w:t>
            </w:r>
            <w:r w:rsidR="001D23F4">
              <w:t xml:space="preserve"> classroom </w:t>
            </w:r>
            <w:r>
              <w:t xml:space="preserve">has proven popular with </w:t>
            </w:r>
            <w:r w:rsidR="00D132F2">
              <w:t>faculty</w:t>
            </w:r>
            <w:r>
              <w:t xml:space="preserve"> and students</w:t>
            </w:r>
            <w:proofErr w:type="gramStart"/>
            <w:r>
              <w:t xml:space="preserve">. </w:t>
            </w:r>
            <w:proofErr w:type="gramEnd"/>
            <w:r w:rsidR="00616707">
              <w:t>The department plans to replicate this model in other classrooms.</w:t>
            </w:r>
          </w:p>
          <w:p w:rsidR="00391584" w:rsidRDefault="00391584" w:rsidP="00616707"/>
          <w:p w:rsidR="00391584" w:rsidRDefault="00391584" w:rsidP="00616707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01FED" w:rsidRDefault="00AB45D1" w:rsidP="00A01FED">
            <w:r>
              <w:lastRenderedPageBreak/>
              <w:t>2.</w:t>
            </w:r>
            <w:r w:rsidR="0067298D">
              <w:t xml:space="preserve"> </w:t>
            </w:r>
            <w:r w:rsidR="00A01FED">
              <w:t>Continue to upgrade computers being used by full-time Faculty members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BD18E9" w:rsidP="00D132F2">
            <w:r>
              <w:t>Funding estimated to purchase 3</w:t>
            </w:r>
            <w:r w:rsidR="00D132F2">
              <w:t xml:space="preserve"> laptop computers for full-time faculty and 1 desktop for part-time </w:t>
            </w:r>
            <w:r w:rsidR="004632F4">
              <w:t>faculty @ $1000 each</w:t>
            </w:r>
            <w:r w:rsidR="00391584">
              <w:t>.</w:t>
            </w:r>
          </w:p>
          <w:p w:rsidR="00391584" w:rsidRDefault="00391584" w:rsidP="00D132F2"/>
          <w:p w:rsidR="00391584" w:rsidRDefault="00391584" w:rsidP="00D132F2">
            <w:r>
              <w:t xml:space="preserve">Due to the recent events of COVID-19, </w:t>
            </w:r>
            <w:r w:rsidR="006A11FD">
              <w:t xml:space="preserve">full-time </w:t>
            </w:r>
            <w:proofErr w:type="gramStart"/>
            <w:r>
              <w:t>faculty have</w:t>
            </w:r>
            <w:proofErr w:type="gramEnd"/>
            <w:r>
              <w:t xml:space="preserve"> a need for laptops with Windows 10 and current specs. </w:t>
            </w:r>
            <w:r w:rsidR="00FB7867">
              <w:t xml:space="preserve"> The desktop is an upgrade for the part-time faculty office.</w:t>
            </w:r>
          </w:p>
          <w:p w:rsidR="00B50238" w:rsidRDefault="00B50238" w:rsidP="00D132F2"/>
          <w:p w:rsidR="00B50238" w:rsidRDefault="00B50238" w:rsidP="00D132F2"/>
          <w:p w:rsidR="00B50238" w:rsidRDefault="00B50238" w:rsidP="00D132F2"/>
          <w:p w:rsidR="00B50238" w:rsidRDefault="00B50238" w:rsidP="00D132F2"/>
          <w:p w:rsidR="00B50238" w:rsidRDefault="00B50238" w:rsidP="00D132F2"/>
          <w:p w:rsidR="00B50238" w:rsidRDefault="00B50238" w:rsidP="00D132F2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D132F2" w:rsidP="00D132F2">
            <w:r>
              <w:t xml:space="preserve">No computers were purchased in 2019-20.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391584" w:rsidP="00391584">
            <w:r>
              <w:t>T</w:t>
            </w:r>
            <w:r w:rsidR="00D132F2">
              <w:t>he original requests ha</w:t>
            </w:r>
            <w:r>
              <w:t>s</w:t>
            </w:r>
            <w:r w:rsidR="00D132F2">
              <w:t xml:space="preserve"> been a</w:t>
            </w:r>
            <w:r>
              <w:t>mend</w:t>
            </w:r>
            <w:r w:rsidR="00BD18E9">
              <w:t>ed from 5 desktop computers to 3</w:t>
            </w:r>
            <w:r>
              <w:t xml:space="preserve"> laptop</w:t>
            </w:r>
            <w:r w:rsidR="00BD18E9">
              <w:t>s</w:t>
            </w:r>
            <w:r>
              <w:t xml:space="preserve"> and 1 desktop</w:t>
            </w:r>
            <w:proofErr w:type="gramStart"/>
            <w:r>
              <w:t xml:space="preserve">. </w:t>
            </w:r>
            <w:proofErr w:type="gramEnd"/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01FED" w:rsidRDefault="00AB45D1" w:rsidP="00A01FED">
            <w:r>
              <w:t>3.</w:t>
            </w:r>
            <w:r w:rsidR="0067298D">
              <w:t xml:space="preserve"> </w:t>
            </w:r>
            <w:r w:rsidR="00A01FED">
              <w:t xml:space="preserve">Continue </w:t>
            </w:r>
            <w:r w:rsidR="003431E5">
              <w:t>to equip the Chemistry 111/112 l</w:t>
            </w:r>
            <w:r w:rsidR="00A01FED">
              <w:t>abs with needed lab equipment.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AB45D1" w:rsidP="007B0814">
            <w:r w:rsidRPr="00AB45D1">
              <w:t>Fundi</w:t>
            </w:r>
            <w:r w:rsidR="009F53B8">
              <w:t xml:space="preserve">ng was secured </w:t>
            </w:r>
            <w:proofErr w:type="spellStart"/>
            <w:r w:rsidR="009F53B8">
              <w:t>Vernier</w:t>
            </w:r>
            <w:proofErr w:type="spellEnd"/>
            <w:r w:rsidR="009F53B8">
              <w:t xml:space="preserve"> </w:t>
            </w:r>
            <w:proofErr w:type="spellStart"/>
            <w:r w:rsidR="009F53B8">
              <w:t>probeware</w:t>
            </w:r>
            <w:proofErr w:type="spellEnd"/>
            <w:r w:rsidR="009F53B8">
              <w:t xml:space="preserve"> lab equipment</w:t>
            </w:r>
            <w:r w:rsidRPr="00AB45D1">
              <w:t>.</w:t>
            </w:r>
          </w:p>
          <w:p w:rsidR="009F53B8" w:rsidRDefault="009F53B8" w:rsidP="007B0814">
            <w:r>
              <w:t xml:space="preserve">Additional funding is needed </w:t>
            </w:r>
            <w:proofErr w:type="gramStart"/>
            <w:r>
              <w:t>for  6</w:t>
            </w:r>
            <w:proofErr w:type="gramEnd"/>
            <w:r>
              <w:t xml:space="preserve"> </w:t>
            </w:r>
            <w:proofErr w:type="spellStart"/>
            <w:r>
              <w:t>Vernier</w:t>
            </w:r>
            <w:proofErr w:type="spellEnd"/>
            <w:r>
              <w:t xml:space="preserve"> stir stations.  </w:t>
            </w:r>
          </w:p>
          <w:p w:rsidR="009F53B8" w:rsidRDefault="009F53B8" w:rsidP="00B50238">
            <w:pPr>
              <w:jc w:val="center"/>
            </w:pPr>
          </w:p>
          <w:p w:rsidR="009F53B8" w:rsidRDefault="009F53B8" w:rsidP="00B50238">
            <w:r>
              <w:t xml:space="preserve">The stir stations are needed for </w:t>
            </w:r>
            <w:r w:rsidR="00B50238">
              <w:t xml:space="preserve">use with </w:t>
            </w:r>
            <w:r>
              <w:t xml:space="preserve">the </w:t>
            </w:r>
            <w:proofErr w:type="spellStart"/>
            <w:r>
              <w:t>probeware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The ones previo</w:t>
            </w:r>
            <w:r w:rsidR="00B50238">
              <w:t>usly used were owned by a</w:t>
            </w:r>
            <w:r>
              <w:t xml:space="preserve"> part-time faculty member who no longer teaches</w:t>
            </w:r>
            <w:proofErr w:type="gramStart"/>
            <w:r>
              <w:t xml:space="preserve">. </w:t>
            </w:r>
            <w:proofErr w:type="gramEnd"/>
            <w:r w:rsidR="00B50238">
              <w:t>(</w:t>
            </w:r>
            <w:r>
              <w:t>The instructor did not donate them to the school.</w:t>
            </w:r>
            <w:r w:rsidR="00B50238">
              <w:t>)</w:t>
            </w:r>
          </w:p>
          <w:p w:rsidR="00B50238" w:rsidRDefault="00B50238" w:rsidP="00B50238"/>
          <w:p w:rsidR="00B50238" w:rsidRDefault="00B50238" w:rsidP="00B50238"/>
          <w:p w:rsidR="00B50238" w:rsidRDefault="00B50238" w:rsidP="00B50238"/>
          <w:p w:rsidR="00B50238" w:rsidRDefault="00B50238" w:rsidP="00B50238"/>
          <w:p w:rsidR="00B50238" w:rsidRDefault="00B50238" w:rsidP="00B50238"/>
          <w:p w:rsidR="004632F4" w:rsidRDefault="004632F4" w:rsidP="00B50238"/>
          <w:p w:rsidR="00B50238" w:rsidRDefault="00B50238" w:rsidP="00B50238"/>
          <w:p w:rsidR="00B50238" w:rsidRPr="0004289D" w:rsidRDefault="00B50238" w:rsidP="00B50238">
            <w:pPr>
              <w:rPr>
                <w:highlight w:val="yellow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Pr="00AB45D1" w:rsidRDefault="003431E5" w:rsidP="007B0814">
            <w:bookmarkStart w:id="0" w:name="_GoBack"/>
            <w:bookmarkEnd w:id="0"/>
            <w:r>
              <w:t>Chemistry l</w:t>
            </w:r>
            <w:r w:rsidR="00AB45D1">
              <w:t xml:space="preserve">abs were upgraded with 4 </w:t>
            </w:r>
            <w:proofErr w:type="spellStart"/>
            <w:r w:rsidR="00AB45D1">
              <w:t>Vernier</w:t>
            </w:r>
            <w:proofErr w:type="spellEnd"/>
            <w:r w:rsidR="00AB45D1">
              <w:t xml:space="preserve"> </w:t>
            </w:r>
            <w:proofErr w:type="spellStart"/>
            <w:r w:rsidR="00AB45D1">
              <w:t>pobeware</w:t>
            </w:r>
            <w:proofErr w:type="spellEnd"/>
            <w:r w:rsidR="0067298D">
              <w:t xml:space="preserve"> sets</w:t>
            </w:r>
            <w:proofErr w:type="gramStart"/>
            <w:r w:rsidR="0067298D">
              <w:t>.</w:t>
            </w:r>
            <w:r w:rsidR="00B50238">
              <w:t xml:space="preserve"> </w:t>
            </w:r>
            <w:proofErr w:type="gramEnd"/>
            <w:r w:rsidR="00B50238">
              <w:t xml:space="preserve">The labs are in need of 6 </w:t>
            </w:r>
            <w:proofErr w:type="spellStart"/>
            <w:r w:rsidR="00B50238">
              <w:t>Vernier</w:t>
            </w:r>
            <w:proofErr w:type="spellEnd"/>
            <w:r w:rsidR="00B50238">
              <w:t xml:space="preserve"> stir stations.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Pr="00AB45D1" w:rsidRDefault="009F0886" w:rsidP="007B0814">
            <w:r w:rsidRPr="00AB45D1">
              <w:t xml:space="preserve">The department will continue to upgrade </w:t>
            </w:r>
            <w:r w:rsidR="003431E5">
              <w:t>the equipment in the Chemistry l</w:t>
            </w:r>
            <w:r w:rsidRPr="00AB45D1">
              <w:t>ab.</w:t>
            </w:r>
          </w:p>
          <w:p w:rsidR="00BE3B23" w:rsidRPr="0004289D" w:rsidRDefault="00BE3B23" w:rsidP="007B0814">
            <w:pPr>
              <w:rPr>
                <w:highlight w:val="yellow"/>
              </w:rPr>
            </w:pPr>
          </w:p>
          <w:p w:rsidR="00BE3B23" w:rsidRPr="0004289D" w:rsidRDefault="00BE3B23" w:rsidP="007B0814">
            <w:pPr>
              <w:rPr>
                <w:highlight w:val="yellow"/>
              </w:rPr>
            </w:pP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01FED" w:rsidRDefault="00AB45D1" w:rsidP="00A01FED">
            <w:r>
              <w:lastRenderedPageBreak/>
              <w:t>4.</w:t>
            </w:r>
            <w:r w:rsidR="00D4500B">
              <w:t xml:space="preserve"> </w:t>
            </w:r>
            <w:r w:rsidR="00A01FED">
              <w:t>Maintain up-to-date curriculum and courses to prepare students for transferring to a 4-year University</w:t>
            </w:r>
          </w:p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9F0886" w:rsidP="007B0814">
            <w:r>
              <w:t>No funding is requested.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4500B" w:rsidRDefault="003431E5" w:rsidP="007B0814">
            <w:r>
              <w:t>The following System’s Math</w:t>
            </w:r>
            <w:r w:rsidR="00BE3B23">
              <w:t xml:space="preserve"> courses are in the process of review and update of the course descriptions, course outcomes, and course outlines of topics</w:t>
            </w:r>
            <w:proofErr w:type="gramStart"/>
            <w:r w:rsidR="00BE3B23">
              <w:t xml:space="preserve">. </w:t>
            </w:r>
            <w:proofErr w:type="gramEnd"/>
            <w:r w:rsidR="00BE3B23">
              <w:t>The courses include MTH 110, 113, 115, 116 120, 125, 126, 227, 231, 232, 237, 237, and 265. These should be in place by Fall semester.</w:t>
            </w:r>
          </w:p>
          <w:p w:rsidR="00D4500B" w:rsidRDefault="00D4500B" w:rsidP="007B0814">
            <w:r>
              <w:t xml:space="preserve">Two new courses were approved </w:t>
            </w:r>
            <w:proofErr w:type="gramStart"/>
            <w:r>
              <w:t>and  implemented</w:t>
            </w:r>
            <w:proofErr w:type="gramEnd"/>
            <w:r>
              <w:t xml:space="preserve"> Spring semester 2020: MTH 109 - Support  for Finite Mathematics and MTH 111 - Support for </w:t>
            </w:r>
            <w:proofErr w:type="spellStart"/>
            <w:r>
              <w:t>Precalculus</w:t>
            </w:r>
            <w:proofErr w:type="spellEnd"/>
            <w:r>
              <w:t xml:space="preserve"> Algebra.</w:t>
            </w:r>
          </w:p>
          <w:p w:rsidR="0067298D" w:rsidRDefault="0067298D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9F0886" w:rsidP="007B0814">
            <w:r>
              <w:t>The department will continue to update competencies and curriculum as needed.</w:t>
            </w:r>
          </w:p>
          <w:p w:rsidR="009F0886" w:rsidRDefault="009F0886" w:rsidP="007B0814"/>
        </w:tc>
      </w:tr>
      <w:tr w:rsidR="009F0886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01FED" w:rsidRDefault="00AB45D1" w:rsidP="00A01FED">
            <w:r>
              <w:t>5.</w:t>
            </w:r>
            <w:r w:rsidR="00D4500B">
              <w:t xml:space="preserve"> </w:t>
            </w:r>
            <w:r w:rsidR="00C4366B">
              <w:t>Development and i</w:t>
            </w:r>
            <w:r w:rsidR="00A01FED">
              <w:t>mplement written Student Learning Outcomes (SLO</w:t>
            </w:r>
            <w:r w:rsidR="00C4366B">
              <w:t>’</w:t>
            </w:r>
            <w:r w:rsidR="00A01FED">
              <w:t>s) for all courses in the department to more adequately document and enhance reporting of student progress in the department.</w:t>
            </w:r>
          </w:p>
          <w:p w:rsidR="009F0886" w:rsidRDefault="009F0886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9F0886" w:rsidRDefault="009F0886" w:rsidP="007B0814">
            <w:r>
              <w:t>No funding is requested.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9F0886" w:rsidRDefault="009F0886" w:rsidP="007B0814">
            <w:r>
              <w:t xml:space="preserve">SLO’s are </w:t>
            </w:r>
            <w:r w:rsidR="00BE3B23">
              <w:t>evaluated on a yearly and three-</w:t>
            </w:r>
            <w:r>
              <w:t>year basis.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9F0886" w:rsidRDefault="009F0886" w:rsidP="007B0814">
            <w:r>
              <w:t>Faculty will continue to assess students’ mastery of skills through SLO’s.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D4500B">
              <w:rPr>
                <w:b/>
              </w:rPr>
              <w:t xml:space="preserve">  4/30/2020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D4500B" w:rsidRDefault="00F26A57" w:rsidP="00D4500B">
            <w:pPr>
              <w:rPr>
                <w:rFonts w:ascii="Script MT Bold" w:hAnsi="Script MT Bold"/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 w:rsidR="00D4500B">
              <w:rPr>
                <w:b/>
              </w:rPr>
              <w:t xml:space="preserve">  </w:t>
            </w:r>
            <w:r w:rsidR="00D4500B">
              <w:rPr>
                <w:rFonts w:ascii="Script MT Bold" w:hAnsi="Script MT Bold"/>
                <w:b/>
              </w:rPr>
              <w:t>Louise Fall</w:t>
            </w:r>
          </w:p>
        </w:tc>
      </w:tr>
    </w:tbl>
    <w:p w:rsidR="00F26A57" w:rsidRPr="00D4500B" w:rsidRDefault="00F26A57">
      <w:pPr>
        <w:rPr>
          <w:rFonts w:ascii="Script MT Bold" w:hAnsi="Script MT Bold"/>
        </w:rPr>
      </w:pPr>
    </w:p>
    <w:sectPr w:rsidR="00F26A57" w:rsidRPr="00D4500B" w:rsidSect="00391584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4FDA"/>
    <w:multiLevelType w:val="hybridMultilevel"/>
    <w:tmpl w:val="E2A0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1E2A"/>
    <w:multiLevelType w:val="hybridMultilevel"/>
    <w:tmpl w:val="B8A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CD3"/>
    <w:multiLevelType w:val="hybridMultilevel"/>
    <w:tmpl w:val="FE78C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57"/>
    <w:rsid w:val="0004289D"/>
    <w:rsid w:val="000846C9"/>
    <w:rsid w:val="000E59ED"/>
    <w:rsid w:val="000E63AC"/>
    <w:rsid w:val="001A6D38"/>
    <w:rsid w:val="001D23F4"/>
    <w:rsid w:val="001E7D35"/>
    <w:rsid w:val="0020065E"/>
    <w:rsid w:val="002E7FCF"/>
    <w:rsid w:val="003234A9"/>
    <w:rsid w:val="003431E5"/>
    <w:rsid w:val="00391584"/>
    <w:rsid w:val="003B5286"/>
    <w:rsid w:val="004632F4"/>
    <w:rsid w:val="00486415"/>
    <w:rsid w:val="00495F22"/>
    <w:rsid w:val="004C7EB5"/>
    <w:rsid w:val="004D565F"/>
    <w:rsid w:val="004E539B"/>
    <w:rsid w:val="00565D84"/>
    <w:rsid w:val="00570CF5"/>
    <w:rsid w:val="005905E1"/>
    <w:rsid w:val="00591691"/>
    <w:rsid w:val="005B236E"/>
    <w:rsid w:val="00616707"/>
    <w:rsid w:val="0062332F"/>
    <w:rsid w:val="00637233"/>
    <w:rsid w:val="0067298D"/>
    <w:rsid w:val="006A11FD"/>
    <w:rsid w:val="007A6065"/>
    <w:rsid w:val="008028C3"/>
    <w:rsid w:val="008226A0"/>
    <w:rsid w:val="008B2DB6"/>
    <w:rsid w:val="009310DF"/>
    <w:rsid w:val="009F0886"/>
    <w:rsid w:val="009F53B8"/>
    <w:rsid w:val="00A01FED"/>
    <w:rsid w:val="00A031EE"/>
    <w:rsid w:val="00AB45D1"/>
    <w:rsid w:val="00B0258E"/>
    <w:rsid w:val="00B50238"/>
    <w:rsid w:val="00BD18E9"/>
    <w:rsid w:val="00BE3B23"/>
    <w:rsid w:val="00BF04BB"/>
    <w:rsid w:val="00C13219"/>
    <w:rsid w:val="00C4366B"/>
    <w:rsid w:val="00D132F2"/>
    <w:rsid w:val="00D4500B"/>
    <w:rsid w:val="00DE6B37"/>
    <w:rsid w:val="00E70C73"/>
    <w:rsid w:val="00EC4DDE"/>
    <w:rsid w:val="00F26A57"/>
    <w:rsid w:val="00F274DE"/>
    <w:rsid w:val="00F521D6"/>
    <w:rsid w:val="00FB0018"/>
    <w:rsid w:val="00FB04FA"/>
    <w:rsid w:val="00FB7867"/>
    <w:rsid w:val="00FD53D1"/>
    <w:rsid w:val="00FD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BC3BB64B88448DC94E75F552380A" ma:contentTypeVersion="10" ma:contentTypeDescription="Create a new document." ma:contentTypeScope="" ma:versionID="4f1eb695a89145ecc7bf3910cbd6e62a">
  <xsd:schema xmlns:xsd="http://www.w3.org/2001/XMLSchema" xmlns:xs="http://www.w3.org/2001/XMLSchema" xmlns:p="http://schemas.microsoft.com/office/2006/metadata/properties" xmlns:ns3="a896fd48-7d5c-47d7-9998-3435a745e9ca" targetNamespace="http://schemas.microsoft.com/office/2006/metadata/properties" ma:root="true" ma:fieldsID="c1a9b66706b968d312cde13f86cde8ed" ns3:_="">
    <xsd:import namespace="a896fd48-7d5c-47d7-9998-3435a745e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fd48-7d5c-47d7-9998-3435a745e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3FF69-25C8-4D68-807E-F1DD977EB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6fd48-7d5c-47d7-9998-3435a745e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BD3FD-A89D-4895-9C2B-77B73197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2074-0277-4140-8AAE-BD5932B6D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Louise Fall</cp:lastModifiedBy>
  <cp:revision>2</cp:revision>
  <cp:lastPrinted>2020-04-30T18:48:00Z</cp:lastPrinted>
  <dcterms:created xsi:type="dcterms:W3CDTF">2020-04-30T19:10:00Z</dcterms:created>
  <dcterms:modified xsi:type="dcterms:W3CDTF">2020-04-30T19:10:00Z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0x0101002FDFBC3BB64B88448DC94E75F552380A</vt:lpwstr>
  </property>
</Properties>
</file>