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79D972B"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32992CE6" wp14:editId="395C502B">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20BFF49" w14:textId="77777777" w:rsidR="00646BAA" w:rsidRPr="0060016E" w:rsidRDefault="00646BAA" w:rsidP="00420086">
                            <w:pPr>
                              <w:jc w:val="center"/>
                              <w:rPr>
                                <w:b/>
                              </w:rPr>
                            </w:pPr>
                            <w:r>
                              <w:rPr>
                                <w:b/>
                              </w:rPr>
                              <w:t>Unit Goal Revisions</w:t>
                            </w:r>
                          </w:p>
                          <w:p w14:paraId="414D565B" w14:textId="77777777" w:rsidR="00646BAA" w:rsidRPr="0060016E" w:rsidRDefault="00115CAC" w:rsidP="00420086">
                            <w:pPr>
                              <w:jc w:val="center"/>
                              <w:rPr>
                                <w:b/>
                              </w:rPr>
                            </w:pPr>
                            <w:r>
                              <w:rPr>
                                <w:b/>
                              </w:rPr>
                              <w:t>2016 - 2017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646BAA" w:rsidRPr="0060016E" w:rsidRDefault="00646BAA" w:rsidP="00420086">
                      <w:pPr>
                        <w:jc w:val="center"/>
                        <w:rPr>
                          <w:b/>
                        </w:rPr>
                      </w:pPr>
                      <w:r>
                        <w:rPr>
                          <w:b/>
                        </w:rPr>
                        <w:t>Unit Goal Revisions</w:t>
                      </w:r>
                    </w:p>
                    <w:p w:rsidR="00646BAA" w:rsidRPr="0060016E" w:rsidRDefault="00115CAC" w:rsidP="00420086">
                      <w:pPr>
                        <w:jc w:val="center"/>
                        <w:rPr>
                          <w:b/>
                        </w:rPr>
                      </w:pPr>
                      <w:r>
                        <w:rPr>
                          <w:b/>
                        </w:rPr>
                        <w:t>2016 - 2017</w:t>
                      </w:r>
                    </w:p>
                  </w:txbxContent>
                </v:textbox>
              </v:shape>
            </w:pict>
          </mc:Fallback>
        </mc:AlternateContent>
      </w:r>
    </w:p>
    <w:p w14:paraId="63BD0C29" w14:textId="77777777" w:rsidR="00420086" w:rsidRDefault="00420086" w:rsidP="00420086"/>
    <w:p w14:paraId="66885BEE" w14:textId="77777777" w:rsidR="00420086" w:rsidRDefault="00420086" w:rsidP="00420086"/>
    <w:p w14:paraId="183BADE7" w14:textId="77777777"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448B34BC" w14:textId="77777777" w:rsidR="00646BAA" w:rsidRDefault="00646BAA" w:rsidP="00420086">
      <w:pPr>
        <w:spacing w:after="480"/>
      </w:pPr>
      <w:r>
        <w:t xml:space="preserve">Following the first year each unit submits a goal progress report and revises their unit goals for the second year. </w:t>
      </w:r>
    </w:p>
    <w:p w14:paraId="2B72E485" w14:textId="77777777" w:rsidR="00481035" w:rsidRPr="00170D35" w:rsidRDefault="00420086" w:rsidP="00481035">
      <w:pPr>
        <w:rPr>
          <w:b/>
        </w:rPr>
      </w:pPr>
      <w:r w:rsidRPr="006F4F81">
        <w:rPr>
          <w:b/>
        </w:rPr>
        <w:t>Name of Program</w:t>
      </w:r>
      <w:r>
        <w:rPr>
          <w:b/>
        </w:rPr>
        <w:t>/Department</w:t>
      </w:r>
      <w:r w:rsidRPr="006F4F81">
        <w:rPr>
          <w:b/>
        </w:rPr>
        <w:t>:</w:t>
      </w:r>
      <w:r w:rsidR="00170D35">
        <w:rPr>
          <w:b/>
        </w:rPr>
        <w:tab/>
      </w:r>
      <w:r w:rsidR="00170D35" w:rsidRPr="00170D35">
        <w:t>Adult Education/GED Preparation Program</w:t>
      </w:r>
    </w:p>
    <w:p w14:paraId="71B57C15" w14:textId="77777777" w:rsidR="00170D35" w:rsidRPr="00B55E57" w:rsidRDefault="009F0912" w:rsidP="00170D35">
      <w:pPr>
        <w:pStyle w:val="NoSpacing"/>
        <w:rPr>
          <w:rFonts w:cstheme="minorHAnsi"/>
          <w:b/>
          <w:sz w:val="23"/>
          <w:szCs w:val="23"/>
        </w:rPr>
      </w:pPr>
      <w:r>
        <w:rPr>
          <w:rFonts w:cstheme="minorHAnsi"/>
          <w:b/>
          <w:sz w:val="23"/>
          <w:szCs w:val="23"/>
        </w:rPr>
        <w:t>July 1, 2015 – June 30, 2016</w:t>
      </w:r>
      <w:r w:rsidR="00170D35">
        <w:rPr>
          <w:rFonts w:cstheme="minorHAnsi"/>
          <w:b/>
          <w:sz w:val="23"/>
          <w:szCs w:val="23"/>
        </w:rPr>
        <w:t xml:space="preserve"> </w:t>
      </w:r>
      <w:r w:rsidR="00170D35" w:rsidRPr="00B55E57">
        <w:rPr>
          <w:rFonts w:cstheme="minorHAnsi"/>
          <w:b/>
          <w:sz w:val="23"/>
          <w:szCs w:val="23"/>
        </w:rPr>
        <w:t>Accomplishments</w:t>
      </w:r>
    </w:p>
    <w:p w14:paraId="5A66338E" w14:textId="77777777" w:rsidR="00170D35" w:rsidRDefault="00170D35" w:rsidP="00170D35">
      <w:pPr>
        <w:pStyle w:val="NoSpacing"/>
        <w:rPr>
          <w:rFonts w:cstheme="minorHAnsi"/>
          <w:sz w:val="23"/>
          <w:szCs w:val="23"/>
        </w:rPr>
      </w:pPr>
    </w:p>
    <w:p w14:paraId="1DD4A73B" w14:textId="77777777" w:rsidR="002A0473" w:rsidRDefault="009F0912" w:rsidP="002A0473">
      <w:pPr>
        <w:pStyle w:val="ListParagraph"/>
      </w:pPr>
      <w:r>
        <w:t>The program served 1,628</w:t>
      </w:r>
      <w:r w:rsidR="002A0473">
        <w:t xml:space="preserve"> learners for the period July 1, 201</w:t>
      </w:r>
      <w:r>
        <w:t>4 – June 30, 2015</w:t>
      </w:r>
      <w:r w:rsidR="002A0473">
        <w:t xml:space="preserve">. Compliance with reporting requirements and associated policies was a priority for the program. Instructors continued to review attendance alerts, testing alerts, and other key data in an effort to improve the program’s performance. </w:t>
      </w:r>
    </w:p>
    <w:p w14:paraId="02203158" w14:textId="77777777" w:rsidR="0016489A" w:rsidRDefault="0016489A" w:rsidP="002A0473">
      <w:pPr>
        <w:pStyle w:val="ListParagraph"/>
      </w:pPr>
    </w:p>
    <w:p w14:paraId="2811A535" w14:textId="77777777" w:rsidR="002A0473" w:rsidRDefault="002A0473" w:rsidP="002A0473">
      <w:pPr>
        <w:pStyle w:val="ListParagraph"/>
      </w:pPr>
      <w:r>
        <w:t xml:space="preserve">Overall, the program’s performance tracked with the </w:t>
      </w:r>
      <w:r w:rsidR="005876BA">
        <w:t xml:space="preserve">performance for </w:t>
      </w:r>
      <w:r>
        <w:t xml:space="preserve">the State of Alabama. Staff members continued to analyze factors that impacted performance in an effort to improve the program’s achievements. </w:t>
      </w:r>
    </w:p>
    <w:p w14:paraId="47FBAA7D" w14:textId="77777777" w:rsidR="0016489A" w:rsidRDefault="0016489A" w:rsidP="002A0473">
      <w:pPr>
        <w:pStyle w:val="ListParagraph"/>
      </w:pPr>
    </w:p>
    <w:p w14:paraId="1CC84BCA" w14:textId="77777777" w:rsidR="002A0473" w:rsidRDefault="002A0473" w:rsidP="00170D35">
      <w:pPr>
        <w:pStyle w:val="NoSpacing"/>
        <w:rPr>
          <w:rFonts w:cstheme="minorHAnsi"/>
          <w:sz w:val="23"/>
          <w:szCs w:val="23"/>
        </w:rPr>
      </w:pPr>
    </w:p>
    <w:tbl>
      <w:tblPr>
        <w:tblStyle w:val="TableGrid"/>
        <w:tblW w:w="9000" w:type="dxa"/>
        <w:tblInd w:w="108" w:type="dxa"/>
        <w:tblLayout w:type="fixed"/>
        <w:tblLook w:val="01E0" w:firstRow="1" w:lastRow="1" w:firstColumn="1" w:lastColumn="1" w:noHBand="0" w:noVBand="0"/>
      </w:tblPr>
      <w:tblGrid>
        <w:gridCol w:w="1800"/>
        <w:gridCol w:w="2250"/>
        <w:gridCol w:w="2250"/>
        <w:gridCol w:w="2700"/>
      </w:tblGrid>
      <w:tr w:rsidR="002A0473" w14:paraId="17624C9C" w14:textId="77777777" w:rsidTr="002A0473">
        <w:trPr>
          <w:tblHeader/>
        </w:trPr>
        <w:tc>
          <w:tcPr>
            <w:tcW w:w="1800" w:type="dxa"/>
            <w:tcBorders>
              <w:right w:val="single" w:sz="18" w:space="0" w:color="auto"/>
            </w:tcBorders>
          </w:tcPr>
          <w:p w14:paraId="4B1037B5" w14:textId="77777777" w:rsidR="002A0473" w:rsidRDefault="002A0473" w:rsidP="002867B6">
            <w:pPr>
              <w:rPr>
                <w:sz w:val="40"/>
                <w:szCs w:val="40"/>
              </w:rPr>
            </w:pPr>
          </w:p>
        </w:tc>
        <w:tc>
          <w:tcPr>
            <w:tcW w:w="2250" w:type="dxa"/>
            <w:tcBorders>
              <w:top w:val="single" w:sz="18" w:space="0" w:color="auto"/>
              <w:left w:val="single" w:sz="6" w:space="0" w:color="auto"/>
              <w:bottom w:val="single" w:sz="6" w:space="0" w:color="auto"/>
              <w:right w:val="single" w:sz="18" w:space="0" w:color="auto"/>
            </w:tcBorders>
            <w:shd w:val="clear" w:color="auto" w:fill="FFFF99"/>
          </w:tcPr>
          <w:p w14:paraId="483604DA" w14:textId="77777777" w:rsidR="002A0473" w:rsidRDefault="002A0473" w:rsidP="002867B6">
            <w:pPr>
              <w:jc w:val="center"/>
            </w:pPr>
            <w:r>
              <w:t>JSCC</w:t>
            </w:r>
          </w:p>
          <w:p w14:paraId="5B6500D3" w14:textId="77777777" w:rsidR="002A0473" w:rsidRPr="00A3639B" w:rsidRDefault="0016489A" w:rsidP="002867B6">
            <w:pPr>
              <w:jc w:val="center"/>
            </w:pPr>
            <w:r>
              <w:t>7/1/2015</w:t>
            </w:r>
            <w:r w:rsidR="002A0473" w:rsidRPr="00A3639B">
              <w:t>-</w:t>
            </w:r>
            <w:r>
              <w:t>6/30</w:t>
            </w:r>
            <w:r w:rsidR="002A0473" w:rsidRPr="00A3639B">
              <w:t>/20</w:t>
            </w:r>
            <w:r>
              <w:t>16</w:t>
            </w:r>
          </w:p>
        </w:tc>
        <w:tc>
          <w:tcPr>
            <w:tcW w:w="2250" w:type="dxa"/>
            <w:tcBorders>
              <w:top w:val="single" w:sz="18" w:space="0" w:color="auto"/>
              <w:left w:val="single" w:sz="18" w:space="0" w:color="auto"/>
              <w:bottom w:val="single" w:sz="6" w:space="0" w:color="auto"/>
              <w:right w:val="single" w:sz="18" w:space="0" w:color="auto"/>
            </w:tcBorders>
            <w:shd w:val="clear" w:color="auto" w:fill="95B3D7" w:themeFill="accent1" w:themeFillTint="99"/>
          </w:tcPr>
          <w:p w14:paraId="4CDD927E" w14:textId="77777777" w:rsidR="002A0473" w:rsidRDefault="002A0473" w:rsidP="002867B6">
            <w:pPr>
              <w:jc w:val="center"/>
            </w:pPr>
            <w:r>
              <w:t>State Information</w:t>
            </w:r>
          </w:p>
          <w:p w14:paraId="6B49BE91" w14:textId="77777777" w:rsidR="002A0473" w:rsidRPr="00A3639B" w:rsidRDefault="0016489A" w:rsidP="002867B6">
            <w:pPr>
              <w:jc w:val="center"/>
            </w:pPr>
            <w:r>
              <w:t>PY 15-16</w:t>
            </w:r>
          </w:p>
        </w:tc>
        <w:tc>
          <w:tcPr>
            <w:tcW w:w="2700" w:type="dxa"/>
            <w:tcBorders>
              <w:top w:val="single" w:sz="18" w:space="0" w:color="auto"/>
              <w:left w:val="single" w:sz="18" w:space="0" w:color="auto"/>
              <w:bottom w:val="single" w:sz="6" w:space="0" w:color="auto"/>
              <w:right w:val="single" w:sz="18" w:space="0" w:color="auto"/>
            </w:tcBorders>
            <w:shd w:val="clear" w:color="auto" w:fill="D6E3BC" w:themeFill="accent3" w:themeFillTint="66"/>
          </w:tcPr>
          <w:p w14:paraId="0720B5DE" w14:textId="77777777" w:rsidR="002A0473" w:rsidRPr="00A3639B" w:rsidRDefault="002A0473" w:rsidP="002867B6">
            <w:pPr>
              <w:jc w:val="center"/>
            </w:pPr>
            <w:r w:rsidRPr="00A3639B">
              <w:t>State Goal</w:t>
            </w:r>
          </w:p>
          <w:p w14:paraId="0CEDBC6D" w14:textId="77777777" w:rsidR="002A0473" w:rsidRPr="00A3639B" w:rsidRDefault="0016489A" w:rsidP="002867B6">
            <w:pPr>
              <w:jc w:val="center"/>
            </w:pPr>
            <w:r>
              <w:t>PY 15-16</w:t>
            </w:r>
          </w:p>
        </w:tc>
      </w:tr>
      <w:tr w:rsidR="002A0473" w14:paraId="6AA80309" w14:textId="77777777" w:rsidTr="002867B6">
        <w:tc>
          <w:tcPr>
            <w:tcW w:w="1800" w:type="dxa"/>
            <w:tcBorders>
              <w:right w:val="single" w:sz="18" w:space="0" w:color="auto"/>
            </w:tcBorders>
          </w:tcPr>
          <w:p w14:paraId="3121BA30" w14:textId="77777777" w:rsidR="002A0473" w:rsidRPr="006D5E7E" w:rsidRDefault="002A0473" w:rsidP="002867B6">
            <w:pPr>
              <w:rPr>
                <w:sz w:val="20"/>
                <w:szCs w:val="20"/>
              </w:rPr>
            </w:pPr>
            <w:r w:rsidRPr="006D5E7E">
              <w:rPr>
                <w:sz w:val="20"/>
                <w:szCs w:val="20"/>
              </w:rPr>
              <w:t>Beginning ABE Literacy</w:t>
            </w:r>
            <w:r>
              <w:rPr>
                <w:sz w:val="20"/>
                <w:szCs w:val="20"/>
              </w:rPr>
              <w:t xml:space="preserve"> (0-1.9)</w:t>
            </w:r>
          </w:p>
        </w:tc>
        <w:tc>
          <w:tcPr>
            <w:tcW w:w="2250" w:type="dxa"/>
            <w:tcBorders>
              <w:top w:val="single" w:sz="6" w:space="0" w:color="auto"/>
              <w:left w:val="single" w:sz="6" w:space="0" w:color="auto"/>
              <w:bottom w:val="single" w:sz="6" w:space="0" w:color="auto"/>
              <w:right w:val="single" w:sz="18" w:space="0" w:color="auto"/>
            </w:tcBorders>
            <w:shd w:val="clear" w:color="auto" w:fill="FFFF99"/>
          </w:tcPr>
          <w:p w14:paraId="75F0A225" w14:textId="77777777" w:rsidR="002A0473" w:rsidRPr="0092139F" w:rsidRDefault="0016489A" w:rsidP="002867B6">
            <w:pPr>
              <w:jc w:val="center"/>
            </w:pPr>
            <w:r>
              <w:t>43</w:t>
            </w:r>
            <w:r w:rsidR="005876BA">
              <w:t>%</w:t>
            </w:r>
          </w:p>
        </w:tc>
        <w:tc>
          <w:tcPr>
            <w:tcW w:w="2250" w:type="dxa"/>
            <w:tcBorders>
              <w:top w:val="single" w:sz="6" w:space="0" w:color="auto"/>
              <w:left w:val="single" w:sz="18" w:space="0" w:color="auto"/>
              <w:bottom w:val="single" w:sz="6" w:space="0" w:color="auto"/>
              <w:right w:val="single" w:sz="18" w:space="0" w:color="auto"/>
            </w:tcBorders>
            <w:shd w:val="clear" w:color="auto" w:fill="95B3D7" w:themeFill="accent1" w:themeFillTint="99"/>
          </w:tcPr>
          <w:p w14:paraId="2B89560F" w14:textId="77777777" w:rsidR="002A0473" w:rsidRDefault="0016489A" w:rsidP="002867B6">
            <w:pPr>
              <w:jc w:val="center"/>
            </w:pPr>
            <w:r>
              <w:t>43</w:t>
            </w:r>
            <w:r w:rsidR="005876BA">
              <w:t>%</w:t>
            </w:r>
          </w:p>
        </w:tc>
        <w:tc>
          <w:tcPr>
            <w:tcW w:w="2700" w:type="dxa"/>
            <w:tcBorders>
              <w:top w:val="single" w:sz="6" w:space="0" w:color="auto"/>
              <w:left w:val="single" w:sz="18" w:space="0" w:color="auto"/>
              <w:bottom w:val="single" w:sz="6" w:space="0" w:color="auto"/>
              <w:right w:val="single" w:sz="18" w:space="0" w:color="auto"/>
            </w:tcBorders>
            <w:shd w:val="clear" w:color="auto" w:fill="D6E3BC" w:themeFill="accent3" w:themeFillTint="66"/>
          </w:tcPr>
          <w:p w14:paraId="4EB75796" w14:textId="77777777" w:rsidR="002A0473" w:rsidRPr="0092139F" w:rsidRDefault="0016489A" w:rsidP="002867B6">
            <w:pPr>
              <w:jc w:val="center"/>
            </w:pPr>
            <w:r>
              <w:t>44%</w:t>
            </w:r>
          </w:p>
        </w:tc>
      </w:tr>
      <w:tr w:rsidR="002A0473" w14:paraId="106BAF18" w14:textId="77777777" w:rsidTr="002867B6">
        <w:tc>
          <w:tcPr>
            <w:tcW w:w="1800" w:type="dxa"/>
            <w:tcBorders>
              <w:right w:val="single" w:sz="18" w:space="0" w:color="auto"/>
            </w:tcBorders>
          </w:tcPr>
          <w:p w14:paraId="4A895F8A" w14:textId="77777777" w:rsidR="002A0473" w:rsidRPr="006D5E7E" w:rsidRDefault="002A0473" w:rsidP="002867B6">
            <w:pPr>
              <w:rPr>
                <w:sz w:val="20"/>
                <w:szCs w:val="20"/>
              </w:rPr>
            </w:pPr>
            <w:r w:rsidRPr="006D5E7E">
              <w:rPr>
                <w:sz w:val="20"/>
                <w:szCs w:val="20"/>
              </w:rPr>
              <w:t>Beginning Basic Education</w:t>
            </w:r>
            <w:r>
              <w:rPr>
                <w:sz w:val="20"/>
                <w:szCs w:val="20"/>
              </w:rPr>
              <w:t xml:space="preserve"> (2-3.9)</w:t>
            </w:r>
          </w:p>
        </w:tc>
        <w:tc>
          <w:tcPr>
            <w:tcW w:w="2250" w:type="dxa"/>
            <w:tcBorders>
              <w:top w:val="single" w:sz="6" w:space="0" w:color="auto"/>
              <w:left w:val="single" w:sz="6" w:space="0" w:color="auto"/>
              <w:bottom w:val="single" w:sz="6" w:space="0" w:color="auto"/>
              <w:right w:val="single" w:sz="18" w:space="0" w:color="auto"/>
            </w:tcBorders>
            <w:shd w:val="clear" w:color="auto" w:fill="FFFF99"/>
          </w:tcPr>
          <w:p w14:paraId="132300DC" w14:textId="77777777" w:rsidR="002A0473" w:rsidRPr="0092139F" w:rsidRDefault="0016489A" w:rsidP="002867B6">
            <w:pPr>
              <w:jc w:val="center"/>
            </w:pPr>
            <w:r>
              <w:t>48</w:t>
            </w:r>
            <w:r w:rsidR="005876BA">
              <w:t>%</w:t>
            </w:r>
          </w:p>
        </w:tc>
        <w:tc>
          <w:tcPr>
            <w:tcW w:w="2250" w:type="dxa"/>
            <w:tcBorders>
              <w:top w:val="single" w:sz="6" w:space="0" w:color="auto"/>
              <w:left w:val="single" w:sz="18" w:space="0" w:color="auto"/>
              <w:bottom w:val="single" w:sz="6" w:space="0" w:color="auto"/>
              <w:right w:val="single" w:sz="18" w:space="0" w:color="auto"/>
            </w:tcBorders>
            <w:shd w:val="clear" w:color="auto" w:fill="95B3D7" w:themeFill="accent1" w:themeFillTint="99"/>
          </w:tcPr>
          <w:p w14:paraId="40E4B597" w14:textId="77777777" w:rsidR="002A0473" w:rsidRDefault="0016489A" w:rsidP="002867B6">
            <w:pPr>
              <w:jc w:val="center"/>
            </w:pPr>
            <w:r>
              <w:t>40</w:t>
            </w:r>
            <w:r w:rsidR="005876BA">
              <w:t>%</w:t>
            </w:r>
          </w:p>
        </w:tc>
        <w:tc>
          <w:tcPr>
            <w:tcW w:w="2700" w:type="dxa"/>
            <w:tcBorders>
              <w:top w:val="single" w:sz="6" w:space="0" w:color="auto"/>
              <w:left w:val="single" w:sz="18" w:space="0" w:color="auto"/>
              <w:bottom w:val="single" w:sz="6" w:space="0" w:color="auto"/>
              <w:right w:val="single" w:sz="18" w:space="0" w:color="auto"/>
            </w:tcBorders>
            <w:shd w:val="clear" w:color="auto" w:fill="D6E3BC" w:themeFill="accent3" w:themeFillTint="66"/>
          </w:tcPr>
          <w:p w14:paraId="21172824" w14:textId="77777777" w:rsidR="002A0473" w:rsidRPr="0092139F" w:rsidRDefault="0016489A" w:rsidP="002867B6">
            <w:pPr>
              <w:jc w:val="center"/>
            </w:pPr>
            <w:r>
              <w:t>42%</w:t>
            </w:r>
          </w:p>
        </w:tc>
      </w:tr>
      <w:tr w:rsidR="002A0473" w14:paraId="1048B415" w14:textId="77777777" w:rsidTr="002867B6">
        <w:tc>
          <w:tcPr>
            <w:tcW w:w="1800" w:type="dxa"/>
            <w:tcBorders>
              <w:right w:val="single" w:sz="18" w:space="0" w:color="auto"/>
            </w:tcBorders>
          </w:tcPr>
          <w:p w14:paraId="0E28E02C" w14:textId="77777777" w:rsidR="002A0473" w:rsidRDefault="002A0473" w:rsidP="002867B6">
            <w:pPr>
              <w:rPr>
                <w:sz w:val="20"/>
                <w:szCs w:val="20"/>
              </w:rPr>
            </w:pPr>
            <w:r w:rsidRPr="006D5E7E">
              <w:rPr>
                <w:sz w:val="20"/>
                <w:szCs w:val="20"/>
              </w:rPr>
              <w:t>Low Intermediate Basic Education</w:t>
            </w:r>
          </w:p>
          <w:p w14:paraId="512CB127" w14:textId="77777777" w:rsidR="002A0473" w:rsidRPr="006D5E7E" w:rsidRDefault="002A0473" w:rsidP="002867B6">
            <w:pPr>
              <w:rPr>
                <w:sz w:val="20"/>
                <w:szCs w:val="20"/>
              </w:rPr>
            </w:pPr>
            <w:r w:rsidRPr="006D5E7E">
              <w:rPr>
                <w:sz w:val="20"/>
                <w:szCs w:val="20"/>
              </w:rPr>
              <w:t xml:space="preserve"> (4-5.9)</w:t>
            </w:r>
          </w:p>
        </w:tc>
        <w:tc>
          <w:tcPr>
            <w:tcW w:w="2250" w:type="dxa"/>
            <w:tcBorders>
              <w:top w:val="single" w:sz="6" w:space="0" w:color="auto"/>
              <w:left w:val="single" w:sz="6" w:space="0" w:color="auto"/>
              <w:bottom w:val="single" w:sz="6" w:space="0" w:color="auto"/>
              <w:right w:val="single" w:sz="18" w:space="0" w:color="auto"/>
            </w:tcBorders>
            <w:shd w:val="clear" w:color="auto" w:fill="FFFF99"/>
          </w:tcPr>
          <w:p w14:paraId="3A9515B6" w14:textId="77777777" w:rsidR="002A0473" w:rsidRPr="0092139F" w:rsidRDefault="0016489A" w:rsidP="002867B6">
            <w:pPr>
              <w:jc w:val="center"/>
            </w:pPr>
            <w:r>
              <w:t>39</w:t>
            </w:r>
            <w:r w:rsidR="005876BA">
              <w:t>%</w:t>
            </w:r>
          </w:p>
        </w:tc>
        <w:tc>
          <w:tcPr>
            <w:tcW w:w="2250" w:type="dxa"/>
            <w:tcBorders>
              <w:top w:val="single" w:sz="6" w:space="0" w:color="auto"/>
              <w:left w:val="single" w:sz="18" w:space="0" w:color="auto"/>
              <w:bottom w:val="single" w:sz="6" w:space="0" w:color="auto"/>
              <w:right w:val="single" w:sz="18" w:space="0" w:color="auto"/>
            </w:tcBorders>
            <w:shd w:val="clear" w:color="auto" w:fill="95B3D7" w:themeFill="accent1" w:themeFillTint="99"/>
          </w:tcPr>
          <w:p w14:paraId="046EBA37" w14:textId="77777777" w:rsidR="002A0473" w:rsidRDefault="0016489A" w:rsidP="002867B6">
            <w:pPr>
              <w:jc w:val="center"/>
            </w:pPr>
            <w:r>
              <w:t>37</w:t>
            </w:r>
            <w:r w:rsidR="005876BA">
              <w:t>%</w:t>
            </w:r>
          </w:p>
        </w:tc>
        <w:tc>
          <w:tcPr>
            <w:tcW w:w="2700" w:type="dxa"/>
            <w:tcBorders>
              <w:top w:val="single" w:sz="6" w:space="0" w:color="auto"/>
              <w:left w:val="single" w:sz="18" w:space="0" w:color="auto"/>
              <w:bottom w:val="single" w:sz="6" w:space="0" w:color="auto"/>
              <w:right w:val="single" w:sz="18" w:space="0" w:color="auto"/>
            </w:tcBorders>
            <w:shd w:val="clear" w:color="auto" w:fill="D6E3BC" w:themeFill="accent3" w:themeFillTint="66"/>
          </w:tcPr>
          <w:p w14:paraId="26EA9451" w14:textId="77777777" w:rsidR="002A0473" w:rsidRPr="0092139F" w:rsidRDefault="0016489A" w:rsidP="002867B6">
            <w:pPr>
              <w:jc w:val="center"/>
            </w:pPr>
            <w:r>
              <w:t>40%</w:t>
            </w:r>
          </w:p>
        </w:tc>
      </w:tr>
      <w:tr w:rsidR="002A0473" w14:paraId="5A050CB3" w14:textId="77777777" w:rsidTr="002867B6">
        <w:tc>
          <w:tcPr>
            <w:tcW w:w="1800" w:type="dxa"/>
            <w:tcBorders>
              <w:right w:val="single" w:sz="18" w:space="0" w:color="auto"/>
            </w:tcBorders>
          </w:tcPr>
          <w:p w14:paraId="50313623" w14:textId="77777777" w:rsidR="002A0473" w:rsidRDefault="002A0473" w:rsidP="002867B6">
            <w:pPr>
              <w:rPr>
                <w:sz w:val="20"/>
                <w:szCs w:val="20"/>
              </w:rPr>
            </w:pPr>
            <w:r w:rsidRPr="006D5E7E">
              <w:rPr>
                <w:sz w:val="20"/>
                <w:szCs w:val="20"/>
              </w:rPr>
              <w:t>High Intermediate Basic Education</w:t>
            </w:r>
          </w:p>
          <w:p w14:paraId="0AF6B283" w14:textId="77777777" w:rsidR="002A0473" w:rsidRPr="006D5E7E" w:rsidRDefault="002A0473" w:rsidP="002867B6">
            <w:pPr>
              <w:rPr>
                <w:sz w:val="20"/>
                <w:szCs w:val="20"/>
              </w:rPr>
            </w:pPr>
            <w:r w:rsidRPr="006D5E7E">
              <w:rPr>
                <w:sz w:val="20"/>
                <w:szCs w:val="20"/>
              </w:rPr>
              <w:t xml:space="preserve"> (6-8.9)</w:t>
            </w:r>
          </w:p>
        </w:tc>
        <w:tc>
          <w:tcPr>
            <w:tcW w:w="2250" w:type="dxa"/>
            <w:tcBorders>
              <w:top w:val="single" w:sz="6" w:space="0" w:color="auto"/>
              <w:left w:val="single" w:sz="6" w:space="0" w:color="auto"/>
              <w:bottom w:val="single" w:sz="6" w:space="0" w:color="auto"/>
              <w:right w:val="single" w:sz="18" w:space="0" w:color="auto"/>
            </w:tcBorders>
            <w:shd w:val="clear" w:color="auto" w:fill="FFFF99"/>
          </w:tcPr>
          <w:p w14:paraId="352AFE3E" w14:textId="77777777" w:rsidR="002A0473" w:rsidRPr="0092139F" w:rsidRDefault="0016489A" w:rsidP="002867B6">
            <w:pPr>
              <w:jc w:val="center"/>
            </w:pPr>
            <w:r>
              <w:t>31</w:t>
            </w:r>
            <w:r w:rsidR="005876BA">
              <w:t>%</w:t>
            </w:r>
          </w:p>
        </w:tc>
        <w:tc>
          <w:tcPr>
            <w:tcW w:w="2250" w:type="dxa"/>
            <w:tcBorders>
              <w:top w:val="single" w:sz="6" w:space="0" w:color="auto"/>
              <w:left w:val="single" w:sz="18" w:space="0" w:color="auto"/>
              <w:bottom w:val="single" w:sz="6" w:space="0" w:color="auto"/>
              <w:right w:val="single" w:sz="18" w:space="0" w:color="auto"/>
            </w:tcBorders>
            <w:shd w:val="clear" w:color="auto" w:fill="95B3D7" w:themeFill="accent1" w:themeFillTint="99"/>
          </w:tcPr>
          <w:p w14:paraId="4D686245" w14:textId="77777777" w:rsidR="002A0473" w:rsidRDefault="0016489A" w:rsidP="002867B6">
            <w:pPr>
              <w:jc w:val="center"/>
            </w:pPr>
            <w:r>
              <w:t>33</w:t>
            </w:r>
            <w:r w:rsidR="005876BA">
              <w:t>%</w:t>
            </w:r>
          </w:p>
        </w:tc>
        <w:tc>
          <w:tcPr>
            <w:tcW w:w="2700" w:type="dxa"/>
            <w:tcBorders>
              <w:top w:val="single" w:sz="6" w:space="0" w:color="auto"/>
              <w:left w:val="single" w:sz="18" w:space="0" w:color="auto"/>
              <w:bottom w:val="single" w:sz="6" w:space="0" w:color="auto"/>
              <w:right w:val="single" w:sz="18" w:space="0" w:color="auto"/>
            </w:tcBorders>
            <w:shd w:val="clear" w:color="auto" w:fill="D6E3BC" w:themeFill="accent3" w:themeFillTint="66"/>
          </w:tcPr>
          <w:p w14:paraId="388ED16D" w14:textId="77777777" w:rsidR="002A0473" w:rsidRPr="0092139F" w:rsidRDefault="0016489A" w:rsidP="002867B6">
            <w:pPr>
              <w:jc w:val="center"/>
            </w:pPr>
            <w:r>
              <w:t>34%</w:t>
            </w:r>
          </w:p>
        </w:tc>
      </w:tr>
      <w:tr w:rsidR="002A0473" w14:paraId="5536A657" w14:textId="77777777" w:rsidTr="002867B6">
        <w:tc>
          <w:tcPr>
            <w:tcW w:w="1800" w:type="dxa"/>
            <w:tcBorders>
              <w:right w:val="single" w:sz="18" w:space="0" w:color="auto"/>
            </w:tcBorders>
          </w:tcPr>
          <w:p w14:paraId="0EC52185" w14:textId="77777777" w:rsidR="002A0473" w:rsidRPr="006D5E7E" w:rsidRDefault="002A0473" w:rsidP="002867B6">
            <w:pPr>
              <w:rPr>
                <w:sz w:val="20"/>
                <w:szCs w:val="20"/>
              </w:rPr>
            </w:pPr>
            <w:r w:rsidRPr="006D5E7E">
              <w:rPr>
                <w:sz w:val="20"/>
                <w:szCs w:val="20"/>
              </w:rPr>
              <w:t>Low Adult Secondary Education (9-10.9)</w:t>
            </w:r>
          </w:p>
        </w:tc>
        <w:tc>
          <w:tcPr>
            <w:tcW w:w="2250" w:type="dxa"/>
            <w:tcBorders>
              <w:top w:val="single" w:sz="6" w:space="0" w:color="auto"/>
              <w:left w:val="single" w:sz="6" w:space="0" w:color="auto"/>
              <w:bottom w:val="single" w:sz="6" w:space="0" w:color="auto"/>
              <w:right w:val="single" w:sz="18" w:space="0" w:color="auto"/>
            </w:tcBorders>
            <w:shd w:val="clear" w:color="auto" w:fill="FFFF99"/>
          </w:tcPr>
          <w:p w14:paraId="3BA3B3C6" w14:textId="77777777" w:rsidR="002A0473" w:rsidRPr="0092139F" w:rsidRDefault="0016489A" w:rsidP="002867B6">
            <w:pPr>
              <w:jc w:val="center"/>
            </w:pPr>
            <w:r>
              <w:t>39</w:t>
            </w:r>
            <w:r w:rsidR="005876BA">
              <w:t>%</w:t>
            </w:r>
          </w:p>
        </w:tc>
        <w:tc>
          <w:tcPr>
            <w:tcW w:w="2250" w:type="dxa"/>
            <w:tcBorders>
              <w:top w:val="single" w:sz="6" w:space="0" w:color="auto"/>
              <w:left w:val="single" w:sz="18" w:space="0" w:color="auto"/>
              <w:bottom w:val="single" w:sz="6" w:space="0" w:color="auto"/>
              <w:right w:val="single" w:sz="18" w:space="0" w:color="auto"/>
            </w:tcBorders>
            <w:shd w:val="clear" w:color="auto" w:fill="95B3D7" w:themeFill="accent1" w:themeFillTint="99"/>
          </w:tcPr>
          <w:p w14:paraId="12347F36" w14:textId="77777777" w:rsidR="002A0473" w:rsidRDefault="0016489A" w:rsidP="002867B6">
            <w:pPr>
              <w:jc w:val="center"/>
            </w:pPr>
            <w:r>
              <w:t>40</w:t>
            </w:r>
            <w:r w:rsidR="005876BA">
              <w:t>%</w:t>
            </w:r>
          </w:p>
        </w:tc>
        <w:tc>
          <w:tcPr>
            <w:tcW w:w="2700" w:type="dxa"/>
            <w:tcBorders>
              <w:top w:val="single" w:sz="6" w:space="0" w:color="auto"/>
              <w:left w:val="single" w:sz="18" w:space="0" w:color="auto"/>
              <w:bottom w:val="single" w:sz="6" w:space="0" w:color="auto"/>
              <w:right w:val="single" w:sz="18" w:space="0" w:color="auto"/>
            </w:tcBorders>
            <w:shd w:val="clear" w:color="auto" w:fill="D6E3BC" w:themeFill="accent3" w:themeFillTint="66"/>
          </w:tcPr>
          <w:p w14:paraId="0300EAA6" w14:textId="77777777" w:rsidR="002A0473" w:rsidRPr="0092139F" w:rsidRDefault="0016489A" w:rsidP="002867B6">
            <w:pPr>
              <w:jc w:val="center"/>
            </w:pPr>
            <w:r>
              <w:t>38%</w:t>
            </w:r>
          </w:p>
        </w:tc>
      </w:tr>
      <w:tr w:rsidR="002A0473" w14:paraId="619F6FBB" w14:textId="77777777" w:rsidTr="002867B6">
        <w:tc>
          <w:tcPr>
            <w:tcW w:w="1800" w:type="dxa"/>
            <w:tcBorders>
              <w:bottom w:val="single" w:sz="4" w:space="0" w:color="auto"/>
              <w:right w:val="single" w:sz="18" w:space="0" w:color="auto"/>
            </w:tcBorders>
          </w:tcPr>
          <w:p w14:paraId="2C982EC0" w14:textId="77777777" w:rsidR="002A0473" w:rsidRPr="006D5E7E" w:rsidRDefault="002A0473" w:rsidP="002867B6">
            <w:pPr>
              <w:rPr>
                <w:sz w:val="20"/>
                <w:szCs w:val="20"/>
              </w:rPr>
            </w:pPr>
            <w:r w:rsidRPr="006D5E7E">
              <w:rPr>
                <w:sz w:val="20"/>
                <w:szCs w:val="20"/>
              </w:rPr>
              <w:lastRenderedPageBreak/>
              <w:t>High Adult Secondary Education (11-12.9)</w:t>
            </w:r>
          </w:p>
        </w:tc>
        <w:tc>
          <w:tcPr>
            <w:tcW w:w="2250" w:type="dxa"/>
            <w:tcBorders>
              <w:top w:val="single" w:sz="6" w:space="0" w:color="auto"/>
              <w:left w:val="single" w:sz="6" w:space="0" w:color="auto"/>
              <w:bottom w:val="single" w:sz="6" w:space="0" w:color="auto"/>
              <w:right w:val="single" w:sz="18" w:space="0" w:color="auto"/>
            </w:tcBorders>
            <w:shd w:val="clear" w:color="auto" w:fill="FFFF99"/>
          </w:tcPr>
          <w:p w14:paraId="65464FBE" w14:textId="77777777" w:rsidR="002A0473" w:rsidRPr="0092139F" w:rsidRDefault="002A0473" w:rsidP="002867B6">
            <w:pPr>
              <w:jc w:val="center"/>
            </w:pPr>
          </w:p>
        </w:tc>
        <w:tc>
          <w:tcPr>
            <w:tcW w:w="2250" w:type="dxa"/>
            <w:tcBorders>
              <w:top w:val="single" w:sz="6" w:space="0" w:color="auto"/>
              <w:left w:val="single" w:sz="18" w:space="0" w:color="auto"/>
              <w:bottom w:val="single" w:sz="6" w:space="0" w:color="auto"/>
              <w:right w:val="single" w:sz="18" w:space="0" w:color="auto"/>
            </w:tcBorders>
            <w:shd w:val="clear" w:color="auto" w:fill="95B3D7" w:themeFill="accent1" w:themeFillTint="99"/>
          </w:tcPr>
          <w:p w14:paraId="556E1D9D" w14:textId="77777777" w:rsidR="002A0473" w:rsidRPr="0092139F" w:rsidRDefault="002A0473" w:rsidP="002867B6">
            <w:pPr>
              <w:jc w:val="center"/>
              <w:rPr>
                <w:sz w:val="20"/>
                <w:szCs w:val="20"/>
              </w:rPr>
            </w:pPr>
            <w:r>
              <w:rPr>
                <w:sz w:val="20"/>
                <w:szCs w:val="20"/>
              </w:rPr>
              <w:t>Achieved by earning a GED</w:t>
            </w:r>
          </w:p>
        </w:tc>
        <w:tc>
          <w:tcPr>
            <w:tcW w:w="2700" w:type="dxa"/>
            <w:tcBorders>
              <w:top w:val="single" w:sz="6" w:space="0" w:color="auto"/>
              <w:left w:val="single" w:sz="18" w:space="0" w:color="auto"/>
              <w:bottom w:val="single" w:sz="6" w:space="0" w:color="auto"/>
              <w:right w:val="single" w:sz="18" w:space="0" w:color="auto"/>
            </w:tcBorders>
            <w:shd w:val="clear" w:color="auto" w:fill="D6E3BC" w:themeFill="accent3" w:themeFillTint="66"/>
          </w:tcPr>
          <w:p w14:paraId="7C72F7F5" w14:textId="77777777" w:rsidR="002A0473" w:rsidRPr="0092139F" w:rsidRDefault="002A0473" w:rsidP="002867B6">
            <w:pPr>
              <w:jc w:val="center"/>
              <w:rPr>
                <w:sz w:val="20"/>
                <w:szCs w:val="20"/>
              </w:rPr>
            </w:pPr>
            <w:r w:rsidRPr="0092139F">
              <w:rPr>
                <w:sz w:val="20"/>
                <w:szCs w:val="20"/>
              </w:rPr>
              <w:t>Achieved by earning a GED</w:t>
            </w:r>
          </w:p>
        </w:tc>
      </w:tr>
      <w:tr w:rsidR="002A0473" w14:paraId="22F0AAE6" w14:textId="77777777" w:rsidTr="002867B6">
        <w:tc>
          <w:tcPr>
            <w:tcW w:w="1800" w:type="dxa"/>
            <w:tcBorders>
              <w:right w:val="single" w:sz="18" w:space="0" w:color="auto"/>
            </w:tcBorders>
            <w:shd w:val="clear" w:color="auto" w:fill="C0C0C0"/>
          </w:tcPr>
          <w:p w14:paraId="3C8E5158" w14:textId="77777777" w:rsidR="002A0473" w:rsidRPr="006D5E7E" w:rsidRDefault="002A0473" w:rsidP="002867B6">
            <w:pPr>
              <w:rPr>
                <w:sz w:val="20"/>
                <w:szCs w:val="20"/>
              </w:rPr>
            </w:pPr>
          </w:p>
        </w:tc>
        <w:tc>
          <w:tcPr>
            <w:tcW w:w="2250" w:type="dxa"/>
            <w:tcBorders>
              <w:top w:val="single" w:sz="6" w:space="0" w:color="auto"/>
              <w:left w:val="single" w:sz="6" w:space="0" w:color="auto"/>
              <w:bottom w:val="single" w:sz="6" w:space="0" w:color="auto"/>
              <w:right w:val="single" w:sz="18" w:space="0" w:color="auto"/>
            </w:tcBorders>
            <w:shd w:val="clear" w:color="auto" w:fill="BFBFBF" w:themeFill="background1" w:themeFillShade="BF"/>
          </w:tcPr>
          <w:p w14:paraId="3AD372D6" w14:textId="77777777" w:rsidR="002A0473" w:rsidRPr="0092139F" w:rsidRDefault="002A0473" w:rsidP="002867B6">
            <w:pPr>
              <w:jc w:val="center"/>
            </w:pPr>
          </w:p>
        </w:tc>
        <w:tc>
          <w:tcPr>
            <w:tcW w:w="2250" w:type="dxa"/>
            <w:tcBorders>
              <w:top w:val="single" w:sz="6" w:space="0" w:color="auto"/>
              <w:left w:val="single" w:sz="18" w:space="0" w:color="auto"/>
              <w:bottom w:val="single" w:sz="6" w:space="0" w:color="auto"/>
              <w:right w:val="single" w:sz="18" w:space="0" w:color="auto"/>
            </w:tcBorders>
            <w:shd w:val="clear" w:color="auto" w:fill="BFBFBF" w:themeFill="background1" w:themeFillShade="BF"/>
          </w:tcPr>
          <w:p w14:paraId="5CE95BB9" w14:textId="77777777" w:rsidR="002A0473" w:rsidRPr="0092139F" w:rsidRDefault="002A0473" w:rsidP="002867B6">
            <w:pPr>
              <w:jc w:val="center"/>
            </w:pPr>
          </w:p>
        </w:tc>
        <w:tc>
          <w:tcPr>
            <w:tcW w:w="2700" w:type="dxa"/>
            <w:tcBorders>
              <w:top w:val="single" w:sz="6" w:space="0" w:color="auto"/>
              <w:left w:val="single" w:sz="18" w:space="0" w:color="auto"/>
              <w:bottom w:val="single" w:sz="6" w:space="0" w:color="auto"/>
              <w:right w:val="single" w:sz="18" w:space="0" w:color="auto"/>
            </w:tcBorders>
            <w:shd w:val="clear" w:color="auto" w:fill="BFBFBF" w:themeFill="background1" w:themeFillShade="BF"/>
          </w:tcPr>
          <w:p w14:paraId="7F70BC31" w14:textId="77777777" w:rsidR="002A0473" w:rsidRPr="0092139F" w:rsidRDefault="002A0473" w:rsidP="002867B6">
            <w:pPr>
              <w:jc w:val="center"/>
            </w:pPr>
          </w:p>
        </w:tc>
      </w:tr>
      <w:tr w:rsidR="002A0473" w14:paraId="33A64890" w14:textId="77777777" w:rsidTr="002867B6">
        <w:tc>
          <w:tcPr>
            <w:tcW w:w="1800" w:type="dxa"/>
            <w:tcBorders>
              <w:right w:val="single" w:sz="18" w:space="0" w:color="auto"/>
            </w:tcBorders>
          </w:tcPr>
          <w:p w14:paraId="05D90037" w14:textId="77777777" w:rsidR="002A0473" w:rsidRPr="006D5E7E" w:rsidRDefault="002A0473" w:rsidP="002867B6">
            <w:pPr>
              <w:rPr>
                <w:sz w:val="20"/>
                <w:szCs w:val="20"/>
              </w:rPr>
            </w:pPr>
            <w:r w:rsidRPr="006D5E7E">
              <w:rPr>
                <w:sz w:val="20"/>
                <w:szCs w:val="20"/>
              </w:rPr>
              <w:t>Beginning ESL Literacy</w:t>
            </w:r>
            <w:r>
              <w:rPr>
                <w:sz w:val="20"/>
                <w:szCs w:val="20"/>
              </w:rPr>
              <w:t xml:space="preserve"> (SPL 0-1)</w:t>
            </w:r>
          </w:p>
        </w:tc>
        <w:tc>
          <w:tcPr>
            <w:tcW w:w="2250" w:type="dxa"/>
            <w:tcBorders>
              <w:top w:val="single" w:sz="6" w:space="0" w:color="auto"/>
              <w:left w:val="single" w:sz="6" w:space="0" w:color="auto"/>
              <w:bottom w:val="single" w:sz="6" w:space="0" w:color="auto"/>
              <w:right w:val="single" w:sz="18" w:space="0" w:color="auto"/>
            </w:tcBorders>
            <w:shd w:val="clear" w:color="auto" w:fill="FFFF99"/>
          </w:tcPr>
          <w:p w14:paraId="70E9FC78" w14:textId="77777777" w:rsidR="0016489A" w:rsidRPr="0092139F" w:rsidRDefault="0016489A" w:rsidP="0016489A">
            <w:pPr>
              <w:jc w:val="center"/>
            </w:pPr>
            <w:r>
              <w:t>4</w:t>
            </w:r>
            <w:r w:rsidR="005876BA">
              <w:t>%</w:t>
            </w:r>
          </w:p>
        </w:tc>
        <w:tc>
          <w:tcPr>
            <w:tcW w:w="2250" w:type="dxa"/>
            <w:tcBorders>
              <w:top w:val="single" w:sz="6" w:space="0" w:color="auto"/>
              <w:left w:val="single" w:sz="18" w:space="0" w:color="auto"/>
              <w:bottom w:val="single" w:sz="6" w:space="0" w:color="auto"/>
              <w:right w:val="single" w:sz="18" w:space="0" w:color="auto"/>
            </w:tcBorders>
            <w:shd w:val="clear" w:color="auto" w:fill="95B3D7" w:themeFill="accent1" w:themeFillTint="99"/>
          </w:tcPr>
          <w:p w14:paraId="5B87742A" w14:textId="77777777" w:rsidR="002A0473" w:rsidRDefault="0016489A" w:rsidP="002867B6">
            <w:pPr>
              <w:jc w:val="center"/>
            </w:pPr>
            <w:r>
              <w:t>32</w:t>
            </w:r>
            <w:r w:rsidR="005876BA">
              <w:t>%</w:t>
            </w:r>
          </w:p>
        </w:tc>
        <w:tc>
          <w:tcPr>
            <w:tcW w:w="2700" w:type="dxa"/>
            <w:tcBorders>
              <w:top w:val="single" w:sz="6" w:space="0" w:color="auto"/>
              <w:left w:val="single" w:sz="18" w:space="0" w:color="auto"/>
              <w:bottom w:val="single" w:sz="6" w:space="0" w:color="auto"/>
              <w:right w:val="single" w:sz="18" w:space="0" w:color="auto"/>
            </w:tcBorders>
            <w:shd w:val="clear" w:color="auto" w:fill="D6E3BC" w:themeFill="accent3" w:themeFillTint="66"/>
          </w:tcPr>
          <w:p w14:paraId="768050BD" w14:textId="77777777" w:rsidR="002A0473" w:rsidRPr="0092139F" w:rsidRDefault="0016489A" w:rsidP="002867B6">
            <w:pPr>
              <w:jc w:val="center"/>
            </w:pPr>
            <w:r>
              <w:t>34%</w:t>
            </w:r>
          </w:p>
        </w:tc>
      </w:tr>
      <w:tr w:rsidR="002A0473" w14:paraId="6A000B70" w14:textId="77777777" w:rsidTr="002867B6">
        <w:tc>
          <w:tcPr>
            <w:tcW w:w="1800" w:type="dxa"/>
            <w:tcBorders>
              <w:right w:val="single" w:sz="18" w:space="0" w:color="auto"/>
            </w:tcBorders>
          </w:tcPr>
          <w:p w14:paraId="0D3A975B" w14:textId="77777777" w:rsidR="002A0473" w:rsidRPr="006D5E7E" w:rsidRDefault="002A0473" w:rsidP="002867B6">
            <w:pPr>
              <w:rPr>
                <w:sz w:val="20"/>
                <w:szCs w:val="20"/>
              </w:rPr>
            </w:pPr>
            <w:r w:rsidRPr="006D5E7E">
              <w:rPr>
                <w:sz w:val="20"/>
                <w:szCs w:val="20"/>
              </w:rPr>
              <w:t>Low Beginning ESL (SPL 2)</w:t>
            </w:r>
          </w:p>
        </w:tc>
        <w:tc>
          <w:tcPr>
            <w:tcW w:w="2250" w:type="dxa"/>
            <w:tcBorders>
              <w:top w:val="single" w:sz="6" w:space="0" w:color="auto"/>
              <w:left w:val="single" w:sz="6" w:space="0" w:color="auto"/>
              <w:bottom w:val="single" w:sz="6" w:space="0" w:color="auto"/>
              <w:right w:val="single" w:sz="18" w:space="0" w:color="auto"/>
            </w:tcBorders>
            <w:shd w:val="clear" w:color="auto" w:fill="FFFF99"/>
          </w:tcPr>
          <w:p w14:paraId="1BCD25C6" w14:textId="77777777" w:rsidR="002A0473" w:rsidRPr="0092139F" w:rsidRDefault="0016489A" w:rsidP="002867B6">
            <w:pPr>
              <w:jc w:val="center"/>
            </w:pPr>
            <w:r>
              <w:t>50</w:t>
            </w:r>
            <w:r w:rsidR="005876BA">
              <w:t>%</w:t>
            </w:r>
          </w:p>
        </w:tc>
        <w:tc>
          <w:tcPr>
            <w:tcW w:w="2250" w:type="dxa"/>
            <w:tcBorders>
              <w:top w:val="single" w:sz="6" w:space="0" w:color="auto"/>
              <w:left w:val="single" w:sz="18" w:space="0" w:color="auto"/>
              <w:bottom w:val="single" w:sz="6" w:space="0" w:color="auto"/>
              <w:right w:val="single" w:sz="18" w:space="0" w:color="auto"/>
            </w:tcBorders>
            <w:shd w:val="clear" w:color="auto" w:fill="95B3D7" w:themeFill="accent1" w:themeFillTint="99"/>
          </w:tcPr>
          <w:p w14:paraId="282EDABF" w14:textId="77777777" w:rsidR="002A0473" w:rsidRDefault="0016489A" w:rsidP="002867B6">
            <w:pPr>
              <w:jc w:val="center"/>
            </w:pPr>
            <w:r>
              <w:t>46</w:t>
            </w:r>
            <w:r w:rsidR="005876BA">
              <w:t>%</w:t>
            </w:r>
          </w:p>
        </w:tc>
        <w:tc>
          <w:tcPr>
            <w:tcW w:w="2700" w:type="dxa"/>
            <w:tcBorders>
              <w:top w:val="single" w:sz="6" w:space="0" w:color="auto"/>
              <w:left w:val="single" w:sz="18" w:space="0" w:color="auto"/>
              <w:bottom w:val="single" w:sz="6" w:space="0" w:color="auto"/>
              <w:right w:val="single" w:sz="18" w:space="0" w:color="auto"/>
            </w:tcBorders>
            <w:shd w:val="clear" w:color="auto" w:fill="D6E3BC" w:themeFill="accent3" w:themeFillTint="66"/>
          </w:tcPr>
          <w:p w14:paraId="288AA59C" w14:textId="77777777" w:rsidR="002A0473" w:rsidRPr="0092139F" w:rsidRDefault="0016489A" w:rsidP="002867B6">
            <w:pPr>
              <w:jc w:val="center"/>
            </w:pPr>
            <w:r>
              <w:t>47%</w:t>
            </w:r>
          </w:p>
        </w:tc>
      </w:tr>
      <w:tr w:rsidR="002A0473" w14:paraId="6A8A9553" w14:textId="77777777" w:rsidTr="002867B6">
        <w:tc>
          <w:tcPr>
            <w:tcW w:w="1800" w:type="dxa"/>
            <w:tcBorders>
              <w:right w:val="single" w:sz="18" w:space="0" w:color="auto"/>
            </w:tcBorders>
          </w:tcPr>
          <w:p w14:paraId="1EC3C99E" w14:textId="77777777" w:rsidR="002A0473" w:rsidRPr="006D5E7E" w:rsidRDefault="002A0473" w:rsidP="002867B6">
            <w:pPr>
              <w:rPr>
                <w:sz w:val="20"/>
                <w:szCs w:val="20"/>
              </w:rPr>
            </w:pPr>
            <w:r w:rsidRPr="006D5E7E">
              <w:rPr>
                <w:sz w:val="20"/>
                <w:szCs w:val="20"/>
              </w:rPr>
              <w:t>High Beginning ESL (SPL 3)</w:t>
            </w:r>
          </w:p>
        </w:tc>
        <w:tc>
          <w:tcPr>
            <w:tcW w:w="2250" w:type="dxa"/>
            <w:tcBorders>
              <w:top w:val="single" w:sz="6" w:space="0" w:color="auto"/>
              <w:left w:val="single" w:sz="6" w:space="0" w:color="auto"/>
              <w:bottom w:val="single" w:sz="6" w:space="0" w:color="auto"/>
              <w:right w:val="single" w:sz="18" w:space="0" w:color="auto"/>
            </w:tcBorders>
            <w:shd w:val="clear" w:color="auto" w:fill="FFFF99"/>
          </w:tcPr>
          <w:p w14:paraId="581A6486" w14:textId="77777777" w:rsidR="002A0473" w:rsidRPr="0092139F" w:rsidRDefault="0016489A" w:rsidP="002867B6">
            <w:pPr>
              <w:jc w:val="center"/>
            </w:pPr>
            <w:r>
              <w:t>43</w:t>
            </w:r>
            <w:r w:rsidR="005876BA">
              <w:t>%</w:t>
            </w:r>
          </w:p>
        </w:tc>
        <w:tc>
          <w:tcPr>
            <w:tcW w:w="2250" w:type="dxa"/>
            <w:tcBorders>
              <w:top w:val="single" w:sz="6" w:space="0" w:color="auto"/>
              <w:left w:val="single" w:sz="18" w:space="0" w:color="auto"/>
              <w:bottom w:val="single" w:sz="6" w:space="0" w:color="auto"/>
              <w:right w:val="single" w:sz="18" w:space="0" w:color="auto"/>
            </w:tcBorders>
            <w:shd w:val="clear" w:color="auto" w:fill="95B3D7" w:themeFill="accent1" w:themeFillTint="99"/>
          </w:tcPr>
          <w:p w14:paraId="078F5661" w14:textId="77777777" w:rsidR="002A0473" w:rsidRDefault="0016489A" w:rsidP="002867B6">
            <w:pPr>
              <w:jc w:val="center"/>
            </w:pPr>
            <w:r>
              <w:t>41</w:t>
            </w:r>
            <w:r w:rsidR="005876BA">
              <w:t>%</w:t>
            </w:r>
          </w:p>
        </w:tc>
        <w:tc>
          <w:tcPr>
            <w:tcW w:w="2700" w:type="dxa"/>
            <w:tcBorders>
              <w:top w:val="single" w:sz="6" w:space="0" w:color="auto"/>
              <w:left w:val="single" w:sz="18" w:space="0" w:color="auto"/>
              <w:bottom w:val="single" w:sz="6" w:space="0" w:color="auto"/>
              <w:right w:val="single" w:sz="18" w:space="0" w:color="auto"/>
            </w:tcBorders>
            <w:shd w:val="clear" w:color="auto" w:fill="D6E3BC" w:themeFill="accent3" w:themeFillTint="66"/>
          </w:tcPr>
          <w:p w14:paraId="20F177B8" w14:textId="77777777" w:rsidR="002A0473" w:rsidRPr="0092139F" w:rsidRDefault="0016489A" w:rsidP="002867B6">
            <w:pPr>
              <w:jc w:val="center"/>
            </w:pPr>
            <w:r>
              <w:t>46%</w:t>
            </w:r>
          </w:p>
        </w:tc>
      </w:tr>
      <w:tr w:rsidR="002A0473" w14:paraId="70F1AE16" w14:textId="77777777" w:rsidTr="002867B6">
        <w:tc>
          <w:tcPr>
            <w:tcW w:w="1800" w:type="dxa"/>
            <w:tcBorders>
              <w:right w:val="single" w:sz="18" w:space="0" w:color="auto"/>
            </w:tcBorders>
          </w:tcPr>
          <w:p w14:paraId="618F75EE" w14:textId="77777777" w:rsidR="002A0473" w:rsidRPr="006D5E7E" w:rsidRDefault="002A0473" w:rsidP="002867B6">
            <w:pPr>
              <w:rPr>
                <w:sz w:val="20"/>
                <w:szCs w:val="20"/>
              </w:rPr>
            </w:pPr>
            <w:r w:rsidRPr="006D5E7E">
              <w:rPr>
                <w:sz w:val="20"/>
                <w:szCs w:val="20"/>
              </w:rPr>
              <w:t>Low Intermediate ESL (SPL 4)</w:t>
            </w:r>
          </w:p>
        </w:tc>
        <w:tc>
          <w:tcPr>
            <w:tcW w:w="2250" w:type="dxa"/>
            <w:tcBorders>
              <w:top w:val="single" w:sz="6" w:space="0" w:color="auto"/>
              <w:left w:val="single" w:sz="6" w:space="0" w:color="auto"/>
              <w:bottom w:val="single" w:sz="6" w:space="0" w:color="auto"/>
              <w:right w:val="single" w:sz="18" w:space="0" w:color="auto"/>
            </w:tcBorders>
            <w:shd w:val="clear" w:color="auto" w:fill="FFFF99"/>
          </w:tcPr>
          <w:p w14:paraId="57AC1110" w14:textId="77777777" w:rsidR="002A0473" w:rsidRPr="0092139F" w:rsidRDefault="0016489A" w:rsidP="002867B6">
            <w:pPr>
              <w:jc w:val="center"/>
            </w:pPr>
            <w:r>
              <w:t>29</w:t>
            </w:r>
            <w:r w:rsidR="005876BA">
              <w:t>%</w:t>
            </w:r>
          </w:p>
        </w:tc>
        <w:tc>
          <w:tcPr>
            <w:tcW w:w="2250" w:type="dxa"/>
            <w:tcBorders>
              <w:top w:val="single" w:sz="6" w:space="0" w:color="auto"/>
              <w:left w:val="single" w:sz="18" w:space="0" w:color="auto"/>
              <w:bottom w:val="single" w:sz="6" w:space="0" w:color="auto"/>
              <w:right w:val="single" w:sz="18" w:space="0" w:color="auto"/>
            </w:tcBorders>
            <w:shd w:val="clear" w:color="auto" w:fill="95B3D7" w:themeFill="accent1" w:themeFillTint="99"/>
          </w:tcPr>
          <w:p w14:paraId="7F177856" w14:textId="77777777" w:rsidR="002A0473" w:rsidRDefault="0016489A" w:rsidP="002867B6">
            <w:pPr>
              <w:jc w:val="center"/>
            </w:pPr>
            <w:r>
              <w:t>39</w:t>
            </w:r>
            <w:r w:rsidR="005876BA">
              <w:t>%</w:t>
            </w:r>
          </w:p>
        </w:tc>
        <w:tc>
          <w:tcPr>
            <w:tcW w:w="2700" w:type="dxa"/>
            <w:tcBorders>
              <w:top w:val="single" w:sz="6" w:space="0" w:color="auto"/>
              <w:left w:val="single" w:sz="18" w:space="0" w:color="auto"/>
              <w:bottom w:val="single" w:sz="6" w:space="0" w:color="auto"/>
              <w:right w:val="single" w:sz="18" w:space="0" w:color="auto"/>
            </w:tcBorders>
            <w:shd w:val="clear" w:color="auto" w:fill="D6E3BC" w:themeFill="accent3" w:themeFillTint="66"/>
          </w:tcPr>
          <w:p w14:paraId="4270802A" w14:textId="77777777" w:rsidR="002A0473" w:rsidRPr="0092139F" w:rsidRDefault="0016489A" w:rsidP="002867B6">
            <w:pPr>
              <w:jc w:val="center"/>
            </w:pPr>
            <w:r>
              <w:t>41%</w:t>
            </w:r>
          </w:p>
        </w:tc>
      </w:tr>
      <w:tr w:rsidR="002A0473" w14:paraId="6C489E9F" w14:textId="77777777" w:rsidTr="002867B6">
        <w:tc>
          <w:tcPr>
            <w:tcW w:w="1800" w:type="dxa"/>
            <w:tcBorders>
              <w:right w:val="single" w:sz="18" w:space="0" w:color="auto"/>
            </w:tcBorders>
          </w:tcPr>
          <w:p w14:paraId="02B0723D" w14:textId="77777777" w:rsidR="002A0473" w:rsidRPr="006D5E7E" w:rsidRDefault="002A0473" w:rsidP="002867B6">
            <w:pPr>
              <w:rPr>
                <w:sz w:val="20"/>
                <w:szCs w:val="20"/>
              </w:rPr>
            </w:pPr>
            <w:r w:rsidRPr="006D5E7E">
              <w:rPr>
                <w:sz w:val="20"/>
                <w:szCs w:val="20"/>
              </w:rPr>
              <w:t>High Intermediate ESL (SPL 5)</w:t>
            </w:r>
          </w:p>
        </w:tc>
        <w:tc>
          <w:tcPr>
            <w:tcW w:w="2250" w:type="dxa"/>
            <w:tcBorders>
              <w:top w:val="single" w:sz="6" w:space="0" w:color="auto"/>
              <w:left w:val="single" w:sz="6" w:space="0" w:color="auto"/>
              <w:bottom w:val="single" w:sz="6" w:space="0" w:color="auto"/>
              <w:right w:val="single" w:sz="18" w:space="0" w:color="auto"/>
            </w:tcBorders>
            <w:shd w:val="clear" w:color="auto" w:fill="FFFF99"/>
          </w:tcPr>
          <w:p w14:paraId="461B4588" w14:textId="77777777" w:rsidR="002A0473" w:rsidRPr="0092139F" w:rsidRDefault="0016489A" w:rsidP="002867B6">
            <w:pPr>
              <w:jc w:val="center"/>
            </w:pPr>
            <w:r>
              <w:t>30</w:t>
            </w:r>
            <w:r w:rsidR="005876BA">
              <w:t>%</w:t>
            </w:r>
          </w:p>
        </w:tc>
        <w:tc>
          <w:tcPr>
            <w:tcW w:w="2250" w:type="dxa"/>
            <w:tcBorders>
              <w:top w:val="single" w:sz="6" w:space="0" w:color="auto"/>
              <w:left w:val="single" w:sz="18" w:space="0" w:color="auto"/>
              <w:bottom w:val="single" w:sz="6" w:space="0" w:color="auto"/>
              <w:right w:val="single" w:sz="18" w:space="0" w:color="auto"/>
            </w:tcBorders>
            <w:shd w:val="clear" w:color="auto" w:fill="95B3D7" w:themeFill="accent1" w:themeFillTint="99"/>
          </w:tcPr>
          <w:p w14:paraId="1F47552B" w14:textId="77777777" w:rsidR="002A0473" w:rsidRDefault="0016489A" w:rsidP="002867B6">
            <w:pPr>
              <w:jc w:val="center"/>
            </w:pPr>
            <w:r>
              <w:t>37</w:t>
            </w:r>
            <w:r w:rsidR="005876BA">
              <w:t>%</w:t>
            </w:r>
          </w:p>
        </w:tc>
        <w:tc>
          <w:tcPr>
            <w:tcW w:w="2700" w:type="dxa"/>
            <w:tcBorders>
              <w:top w:val="single" w:sz="6" w:space="0" w:color="auto"/>
              <w:left w:val="single" w:sz="18" w:space="0" w:color="auto"/>
              <w:bottom w:val="single" w:sz="6" w:space="0" w:color="auto"/>
              <w:right w:val="single" w:sz="18" w:space="0" w:color="auto"/>
            </w:tcBorders>
            <w:shd w:val="clear" w:color="auto" w:fill="D6E3BC" w:themeFill="accent3" w:themeFillTint="66"/>
          </w:tcPr>
          <w:p w14:paraId="0E9B062D" w14:textId="77777777" w:rsidR="002A0473" w:rsidRPr="0092139F" w:rsidRDefault="0016489A" w:rsidP="002867B6">
            <w:pPr>
              <w:jc w:val="center"/>
            </w:pPr>
            <w:r>
              <w:t>38%</w:t>
            </w:r>
          </w:p>
        </w:tc>
      </w:tr>
      <w:tr w:rsidR="002A0473" w14:paraId="25E793E7" w14:textId="77777777" w:rsidTr="002867B6">
        <w:tc>
          <w:tcPr>
            <w:tcW w:w="1800" w:type="dxa"/>
            <w:tcBorders>
              <w:bottom w:val="single" w:sz="4" w:space="0" w:color="auto"/>
              <w:right w:val="single" w:sz="18" w:space="0" w:color="auto"/>
            </w:tcBorders>
          </w:tcPr>
          <w:p w14:paraId="38FA3565" w14:textId="77777777" w:rsidR="002A0473" w:rsidRDefault="002A0473" w:rsidP="002867B6">
            <w:pPr>
              <w:rPr>
                <w:sz w:val="20"/>
                <w:szCs w:val="20"/>
              </w:rPr>
            </w:pPr>
            <w:r w:rsidRPr="006D5E7E">
              <w:rPr>
                <w:sz w:val="20"/>
                <w:szCs w:val="20"/>
              </w:rPr>
              <w:t>Advanced ESL</w:t>
            </w:r>
          </w:p>
          <w:p w14:paraId="71DF3270" w14:textId="77777777" w:rsidR="002A0473" w:rsidRPr="006D5E7E" w:rsidRDefault="002A0473" w:rsidP="002867B6">
            <w:pPr>
              <w:rPr>
                <w:sz w:val="20"/>
                <w:szCs w:val="20"/>
              </w:rPr>
            </w:pPr>
            <w:r w:rsidRPr="006D5E7E">
              <w:rPr>
                <w:sz w:val="20"/>
                <w:szCs w:val="20"/>
              </w:rPr>
              <w:t xml:space="preserve"> (SPL 6+)</w:t>
            </w:r>
          </w:p>
        </w:tc>
        <w:tc>
          <w:tcPr>
            <w:tcW w:w="2250" w:type="dxa"/>
            <w:tcBorders>
              <w:top w:val="single" w:sz="6" w:space="0" w:color="auto"/>
              <w:left w:val="single" w:sz="6" w:space="0" w:color="auto"/>
              <w:bottom w:val="single" w:sz="6" w:space="0" w:color="auto"/>
              <w:right w:val="single" w:sz="18" w:space="0" w:color="auto"/>
            </w:tcBorders>
            <w:shd w:val="clear" w:color="auto" w:fill="FFFF99"/>
          </w:tcPr>
          <w:p w14:paraId="1A9EEF39" w14:textId="77777777" w:rsidR="002A0473" w:rsidRPr="0092139F" w:rsidRDefault="0016489A" w:rsidP="002867B6">
            <w:pPr>
              <w:jc w:val="center"/>
            </w:pPr>
            <w:r>
              <w:t>24</w:t>
            </w:r>
            <w:r w:rsidR="005876BA">
              <w:t>%</w:t>
            </w:r>
          </w:p>
        </w:tc>
        <w:tc>
          <w:tcPr>
            <w:tcW w:w="2250" w:type="dxa"/>
            <w:tcBorders>
              <w:top w:val="single" w:sz="6" w:space="0" w:color="auto"/>
              <w:left w:val="single" w:sz="18" w:space="0" w:color="auto"/>
              <w:bottom w:val="single" w:sz="6" w:space="0" w:color="auto"/>
              <w:right w:val="single" w:sz="18" w:space="0" w:color="auto"/>
            </w:tcBorders>
            <w:shd w:val="clear" w:color="auto" w:fill="95B3D7" w:themeFill="accent1" w:themeFillTint="99"/>
          </w:tcPr>
          <w:p w14:paraId="5E4C0CFC" w14:textId="77777777" w:rsidR="002A0473" w:rsidRDefault="0016489A" w:rsidP="002867B6">
            <w:pPr>
              <w:jc w:val="center"/>
            </w:pPr>
            <w:r>
              <w:t>24</w:t>
            </w:r>
            <w:r w:rsidR="005876BA">
              <w:t>%</w:t>
            </w:r>
          </w:p>
        </w:tc>
        <w:tc>
          <w:tcPr>
            <w:tcW w:w="2700" w:type="dxa"/>
            <w:tcBorders>
              <w:top w:val="single" w:sz="6" w:space="0" w:color="auto"/>
              <w:left w:val="single" w:sz="18" w:space="0" w:color="auto"/>
              <w:bottom w:val="single" w:sz="6" w:space="0" w:color="auto"/>
              <w:right w:val="single" w:sz="18" w:space="0" w:color="auto"/>
            </w:tcBorders>
            <w:shd w:val="clear" w:color="auto" w:fill="D6E3BC" w:themeFill="accent3" w:themeFillTint="66"/>
          </w:tcPr>
          <w:p w14:paraId="269B10FD" w14:textId="77777777" w:rsidR="002A0473" w:rsidRPr="0092139F" w:rsidRDefault="0016489A" w:rsidP="002867B6">
            <w:pPr>
              <w:jc w:val="center"/>
            </w:pPr>
            <w:r>
              <w:t>32%</w:t>
            </w:r>
          </w:p>
        </w:tc>
      </w:tr>
      <w:tr w:rsidR="002A0473" w14:paraId="428D4391" w14:textId="77777777" w:rsidTr="002867B6">
        <w:tc>
          <w:tcPr>
            <w:tcW w:w="1800" w:type="dxa"/>
            <w:tcBorders>
              <w:right w:val="single" w:sz="18" w:space="0" w:color="auto"/>
            </w:tcBorders>
            <w:shd w:val="clear" w:color="auto" w:fill="BFBFBF" w:themeFill="background1" w:themeFillShade="BF"/>
          </w:tcPr>
          <w:p w14:paraId="4021BE2A" w14:textId="77777777" w:rsidR="002A0473" w:rsidRPr="0092139F" w:rsidRDefault="002A0473" w:rsidP="002867B6"/>
        </w:tc>
        <w:tc>
          <w:tcPr>
            <w:tcW w:w="2250" w:type="dxa"/>
            <w:tcBorders>
              <w:top w:val="single" w:sz="6" w:space="0" w:color="auto"/>
              <w:left w:val="single" w:sz="6" w:space="0" w:color="auto"/>
              <w:bottom w:val="single" w:sz="6" w:space="0" w:color="auto"/>
              <w:right w:val="single" w:sz="18" w:space="0" w:color="auto"/>
            </w:tcBorders>
            <w:shd w:val="clear" w:color="auto" w:fill="BFBFBF" w:themeFill="background1" w:themeFillShade="BF"/>
          </w:tcPr>
          <w:p w14:paraId="69892267" w14:textId="77777777" w:rsidR="002A0473" w:rsidRPr="009846AA" w:rsidRDefault="002A0473" w:rsidP="002867B6">
            <w:pPr>
              <w:jc w:val="center"/>
              <w:rPr>
                <w:color w:val="A6A6A6" w:themeColor="background1" w:themeShade="A6"/>
              </w:rPr>
            </w:pPr>
          </w:p>
        </w:tc>
        <w:tc>
          <w:tcPr>
            <w:tcW w:w="2250" w:type="dxa"/>
            <w:tcBorders>
              <w:top w:val="single" w:sz="6" w:space="0" w:color="auto"/>
              <w:left w:val="single" w:sz="18" w:space="0" w:color="auto"/>
              <w:bottom w:val="single" w:sz="6" w:space="0" w:color="auto"/>
              <w:right w:val="single" w:sz="18" w:space="0" w:color="auto"/>
            </w:tcBorders>
            <w:shd w:val="clear" w:color="auto" w:fill="BFBFBF" w:themeFill="background1" w:themeFillShade="BF"/>
          </w:tcPr>
          <w:p w14:paraId="4CF9BEC1" w14:textId="77777777" w:rsidR="002A0473" w:rsidRPr="0092139F" w:rsidRDefault="002A0473" w:rsidP="002867B6">
            <w:pPr>
              <w:jc w:val="center"/>
            </w:pPr>
          </w:p>
        </w:tc>
        <w:tc>
          <w:tcPr>
            <w:tcW w:w="2700" w:type="dxa"/>
            <w:tcBorders>
              <w:top w:val="single" w:sz="6" w:space="0" w:color="auto"/>
              <w:left w:val="single" w:sz="18" w:space="0" w:color="auto"/>
              <w:bottom w:val="single" w:sz="6" w:space="0" w:color="auto"/>
              <w:right w:val="single" w:sz="18" w:space="0" w:color="auto"/>
            </w:tcBorders>
            <w:shd w:val="clear" w:color="auto" w:fill="BFBFBF" w:themeFill="background1" w:themeFillShade="BF"/>
          </w:tcPr>
          <w:p w14:paraId="2417DD30" w14:textId="77777777" w:rsidR="002A0473" w:rsidRPr="0092139F" w:rsidRDefault="002A0473" w:rsidP="002867B6">
            <w:pPr>
              <w:jc w:val="center"/>
            </w:pPr>
          </w:p>
        </w:tc>
      </w:tr>
      <w:tr w:rsidR="002A0473" w14:paraId="0244D69A" w14:textId="77777777" w:rsidTr="002867B6">
        <w:tc>
          <w:tcPr>
            <w:tcW w:w="1800" w:type="dxa"/>
            <w:tcBorders>
              <w:right w:val="single" w:sz="18" w:space="0" w:color="auto"/>
            </w:tcBorders>
          </w:tcPr>
          <w:p w14:paraId="4065F64E" w14:textId="77777777" w:rsidR="002A0473" w:rsidRPr="006D5E7E" w:rsidRDefault="002A0473" w:rsidP="002867B6">
            <w:pPr>
              <w:rPr>
                <w:sz w:val="20"/>
                <w:szCs w:val="20"/>
              </w:rPr>
            </w:pPr>
            <w:r w:rsidRPr="006D5E7E">
              <w:rPr>
                <w:sz w:val="20"/>
                <w:szCs w:val="20"/>
              </w:rPr>
              <w:t>*Placement in employment</w:t>
            </w:r>
          </w:p>
        </w:tc>
        <w:tc>
          <w:tcPr>
            <w:tcW w:w="2250" w:type="dxa"/>
            <w:tcBorders>
              <w:top w:val="single" w:sz="6" w:space="0" w:color="auto"/>
              <w:left w:val="single" w:sz="6" w:space="0" w:color="auto"/>
              <w:bottom w:val="single" w:sz="6" w:space="0" w:color="auto"/>
              <w:right w:val="single" w:sz="18" w:space="0" w:color="auto"/>
            </w:tcBorders>
            <w:shd w:val="clear" w:color="auto" w:fill="808080" w:themeFill="background1" w:themeFillShade="80"/>
          </w:tcPr>
          <w:p w14:paraId="22A6E601" w14:textId="77777777" w:rsidR="002A0473" w:rsidRPr="0092139F" w:rsidRDefault="002A0473" w:rsidP="002867B6">
            <w:pPr>
              <w:jc w:val="center"/>
            </w:pPr>
          </w:p>
        </w:tc>
        <w:tc>
          <w:tcPr>
            <w:tcW w:w="2250" w:type="dxa"/>
            <w:tcBorders>
              <w:top w:val="single" w:sz="6" w:space="0" w:color="auto"/>
              <w:left w:val="single" w:sz="18" w:space="0" w:color="auto"/>
              <w:bottom w:val="single" w:sz="6" w:space="0" w:color="auto"/>
              <w:right w:val="single" w:sz="18" w:space="0" w:color="auto"/>
            </w:tcBorders>
            <w:shd w:val="clear" w:color="auto" w:fill="808080" w:themeFill="background1" w:themeFillShade="80"/>
          </w:tcPr>
          <w:p w14:paraId="77D27BC4" w14:textId="77777777" w:rsidR="002A0473" w:rsidRDefault="002A0473" w:rsidP="002867B6">
            <w:pPr>
              <w:jc w:val="center"/>
            </w:pPr>
          </w:p>
        </w:tc>
        <w:tc>
          <w:tcPr>
            <w:tcW w:w="2700" w:type="dxa"/>
            <w:tcBorders>
              <w:top w:val="single" w:sz="6" w:space="0" w:color="auto"/>
              <w:left w:val="single" w:sz="18" w:space="0" w:color="auto"/>
              <w:bottom w:val="single" w:sz="6" w:space="0" w:color="auto"/>
              <w:right w:val="single" w:sz="18" w:space="0" w:color="auto"/>
            </w:tcBorders>
            <w:shd w:val="clear" w:color="auto" w:fill="D6E3BC" w:themeFill="accent3" w:themeFillTint="66"/>
          </w:tcPr>
          <w:p w14:paraId="60E31260" w14:textId="77777777" w:rsidR="002A0473" w:rsidRPr="0092139F" w:rsidRDefault="0016489A" w:rsidP="002867B6">
            <w:pPr>
              <w:jc w:val="center"/>
            </w:pPr>
            <w:r>
              <w:t>43%</w:t>
            </w:r>
          </w:p>
        </w:tc>
      </w:tr>
      <w:tr w:rsidR="002A0473" w14:paraId="3378B506" w14:textId="77777777" w:rsidTr="002867B6">
        <w:tc>
          <w:tcPr>
            <w:tcW w:w="1800" w:type="dxa"/>
            <w:tcBorders>
              <w:right w:val="single" w:sz="18" w:space="0" w:color="auto"/>
            </w:tcBorders>
          </w:tcPr>
          <w:p w14:paraId="25E990BD" w14:textId="77777777" w:rsidR="002A0473" w:rsidRPr="006D5E7E" w:rsidRDefault="002A0473" w:rsidP="002867B6">
            <w:pPr>
              <w:rPr>
                <w:sz w:val="20"/>
                <w:szCs w:val="20"/>
              </w:rPr>
            </w:pPr>
            <w:r w:rsidRPr="006D5E7E">
              <w:rPr>
                <w:sz w:val="20"/>
                <w:szCs w:val="20"/>
              </w:rPr>
              <w:t>*Retention of Employment</w:t>
            </w:r>
          </w:p>
        </w:tc>
        <w:tc>
          <w:tcPr>
            <w:tcW w:w="2250" w:type="dxa"/>
            <w:tcBorders>
              <w:top w:val="single" w:sz="6" w:space="0" w:color="auto"/>
              <w:left w:val="single" w:sz="6" w:space="0" w:color="auto"/>
              <w:bottom w:val="single" w:sz="6" w:space="0" w:color="auto"/>
              <w:right w:val="single" w:sz="18" w:space="0" w:color="auto"/>
            </w:tcBorders>
            <w:shd w:val="clear" w:color="auto" w:fill="808080" w:themeFill="background1" w:themeFillShade="80"/>
          </w:tcPr>
          <w:p w14:paraId="0C625E62" w14:textId="77777777" w:rsidR="002A0473" w:rsidRPr="00624AD8" w:rsidRDefault="002A0473" w:rsidP="002867B6">
            <w:pPr>
              <w:jc w:val="center"/>
              <w:rPr>
                <w:color w:val="A6A6A6" w:themeColor="background1" w:themeShade="A6"/>
              </w:rPr>
            </w:pPr>
          </w:p>
        </w:tc>
        <w:tc>
          <w:tcPr>
            <w:tcW w:w="2250" w:type="dxa"/>
            <w:tcBorders>
              <w:top w:val="single" w:sz="6" w:space="0" w:color="auto"/>
              <w:left w:val="single" w:sz="18" w:space="0" w:color="auto"/>
              <w:bottom w:val="single" w:sz="6" w:space="0" w:color="auto"/>
              <w:right w:val="single" w:sz="18" w:space="0" w:color="auto"/>
            </w:tcBorders>
            <w:shd w:val="clear" w:color="auto" w:fill="808080" w:themeFill="background1" w:themeFillShade="80"/>
          </w:tcPr>
          <w:p w14:paraId="34CB972A" w14:textId="77777777" w:rsidR="002A0473" w:rsidRDefault="002A0473" w:rsidP="002867B6">
            <w:pPr>
              <w:jc w:val="center"/>
            </w:pPr>
          </w:p>
        </w:tc>
        <w:tc>
          <w:tcPr>
            <w:tcW w:w="2700" w:type="dxa"/>
            <w:tcBorders>
              <w:top w:val="single" w:sz="6" w:space="0" w:color="auto"/>
              <w:left w:val="single" w:sz="18" w:space="0" w:color="auto"/>
              <w:bottom w:val="single" w:sz="6" w:space="0" w:color="auto"/>
              <w:right w:val="single" w:sz="18" w:space="0" w:color="auto"/>
            </w:tcBorders>
            <w:shd w:val="clear" w:color="auto" w:fill="D6E3BC" w:themeFill="accent3" w:themeFillTint="66"/>
          </w:tcPr>
          <w:p w14:paraId="0172FDA1" w14:textId="77777777" w:rsidR="002A0473" w:rsidRPr="0092139F" w:rsidRDefault="0016489A" w:rsidP="002867B6">
            <w:pPr>
              <w:jc w:val="center"/>
            </w:pPr>
            <w:r>
              <w:t>60%</w:t>
            </w:r>
          </w:p>
        </w:tc>
      </w:tr>
      <w:tr w:rsidR="002A0473" w14:paraId="4CD7E1A9" w14:textId="77777777" w:rsidTr="002867B6">
        <w:tc>
          <w:tcPr>
            <w:tcW w:w="1800" w:type="dxa"/>
            <w:tcBorders>
              <w:right w:val="single" w:sz="18" w:space="0" w:color="auto"/>
            </w:tcBorders>
          </w:tcPr>
          <w:p w14:paraId="38C56F1D" w14:textId="77777777" w:rsidR="002A0473" w:rsidRPr="006D5E7E" w:rsidRDefault="002A0473" w:rsidP="002867B6">
            <w:pPr>
              <w:rPr>
                <w:sz w:val="20"/>
                <w:szCs w:val="20"/>
              </w:rPr>
            </w:pPr>
            <w:r w:rsidRPr="006D5E7E">
              <w:rPr>
                <w:sz w:val="20"/>
                <w:szCs w:val="20"/>
              </w:rPr>
              <w:t>*Earned a GED</w:t>
            </w:r>
          </w:p>
        </w:tc>
        <w:tc>
          <w:tcPr>
            <w:tcW w:w="2250" w:type="dxa"/>
            <w:tcBorders>
              <w:top w:val="single" w:sz="6" w:space="0" w:color="auto"/>
              <w:left w:val="single" w:sz="6" w:space="0" w:color="auto"/>
              <w:bottom w:val="single" w:sz="6" w:space="0" w:color="auto"/>
              <w:right w:val="single" w:sz="18" w:space="0" w:color="auto"/>
            </w:tcBorders>
            <w:shd w:val="clear" w:color="auto" w:fill="FFFF99"/>
          </w:tcPr>
          <w:p w14:paraId="094478E7" w14:textId="77777777" w:rsidR="002A0473" w:rsidRPr="0092139F" w:rsidRDefault="0016489A" w:rsidP="002867B6">
            <w:pPr>
              <w:jc w:val="center"/>
            </w:pPr>
            <w:r>
              <w:t>96</w:t>
            </w:r>
            <w:r w:rsidR="005876BA">
              <w:t>%</w:t>
            </w:r>
          </w:p>
        </w:tc>
        <w:tc>
          <w:tcPr>
            <w:tcW w:w="2250" w:type="dxa"/>
            <w:tcBorders>
              <w:top w:val="single" w:sz="6" w:space="0" w:color="auto"/>
              <w:left w:val="single" w:sz="18" w:space="0" w:color="auto"/>
              <w:bottom w:val="single" w:sz="6" w:space="0" w:color="auto"/>
              <w:right w:val="single" w:sz="18" w:space="0" w:color="auto"/>
            </w:tcBorders>
            <w:shd w:val="clear" w:color="auto" w:fill="95B3D7" w:themeFill="accent1" w:themeFillTint="99"/>
          </w:tcPr>
          <w:p w14:paraId="22DEEB1F" w14:textId="77777777" w:rsidR="002A0473" w:rsidRDefault="0016489A" w:rsidP="002867B6">
            <w:pPr>
              <w:jc w:val="center"/>
            </w:pPr>
            <w:r>
              <w:t>88</w:t>
            </w:r>
            <w:r w:rsidR="005876BA">
              <w:t>%</w:t>
            </w:r>
          </w:p>
        </w:tc>
        <w:tc>
          <w:tcPr>
            <w:tcW w:w="2700" w:type="dxa"/>
            <w:tcBorders>
              <w:top w:val="single" w:sz="6" w:space="0" w:color="auto"/>
              <w:left w:val="single" w:sz="18" w:space="0" w:color="auto"/>
              <w:bottom w:val="single" w:sz="6" w:space="0" w:color="auto"/>
              <w:right w:val="single" w:sz="18" w:space="0" w:color="auto"/>
            </w:tcBorders>
            <w:shd w:val="clear" w:color="auto" w:fill="D6E3BC" w:themeFill="accent3" w:themeFillTint="66"/>
          </w:tcPr>
          <w:p w14:paraId="5CEEB663" w14:textId="77777777" w:rsidR="002A0473" w:rsidRPr="0092139F" w:rsidRDefault="0016489A" w:rsidP="002867B6">
            <w:pPr>
              <w:jc w:val="center"/>
            </w:pPr>
            <w:r>
              <w:t>67%</w:t>
            </w:r>
          </w:p>
        </w:tc>
      </w:tr>
      <w:tr w:rsidR="002A0473" w:rsidRPr="003D6A09" w14:paraId="1E2806ED" w14:textId="77777777" w:rsidTr="002867B6">
        <w:tc>
          <w:tcPr>
            <w:tcW w:w="1800" w:type="dxa"/>
            <w:tcBorders>
              <w:right w:val="single" w:sz="18" w:space="0" w:color="auto"/>
            </w:tcBorders>
          </w:tcPr>
          <w:p w14:paraId="10F8E73D" w14:textId="77777777" w:rsidR="002A0473" w:rsidRPr="006D5E7E" w:rsidRDefault="002A0473" w:rsidP="002867B6">
            <w:pPr>
              <w:rPr>
                <w:sz w:val="20"/>
                <w:szCs w:val="20"/>
              </w:rPr>
            </w:pPr>
            <w:r w:rsidRPr="006D5E7E">
              <w:rPr>
                <w:sz w:val="20"/>
                <w:szCs w:val="20"/>
              </w:rPr>
              <w:t>*Placement in postsecondary or skills training</w:t>
            </w:r>
          </w:p>
        </w:tc>
        <w:tc>
          <w:tcPr>
            <w:tcW w:w="2250" w:type="dxa"/>
            <w:tcBorders>
              <w:top w:val="single" w:sz="6" w:space="0" w:color="auto"/>
              <w:left w:val="single" w:sz="6" w:space="0" w:color="auto"/>
              <w:bottom w:val="single" w:sz="6" w:space="0" w:color="auto"/>
              <w:right w:val="single" w:sz="18" w:space="0" w:color="auto"/>
            </w:tcBorders>
            <w:shd w:val="clear" w:color="auto" w:fill="FFFF99"/>
          </w:tcPr>
          <w:p w14:paraId="37CBD6A4" w14:textId="77777777" w:rsidR="002A0473" w:rsidRPr="0092139F" w:rsidRDefault="0016489A" w:rsidP="002867B6">
            <w:pPr>
              <w:jc w:val="center"/>
            </w:pPr>
            <w:r>
              <w:t>8</w:t>
            </w:r>
            <w:r w:rsidR="005876BA">
              <w:t>%</w:t>
            </w:r>
          </w:p>
        </w:tc>
        <w:tc>
          <w:tcPr>
            <w:tcW w:w="2250" w:type="dxa"/>
            <w:tcBorders>
              <w:top w:val="single" w:sz="6" w:space="0" w:color="auto"/>
              <w:left w:val="single" w:sz="18" w:space="0" w:color="auto"/>
              <w:bottom w:val="single" w:sz="6" w:space="0" w:color="auto"/>
              <w:right w:val="single" w:sz="18" w:space="0" w:color="auto"/>
            </w:tcBorders>
            <w:shd w:val="clear" w:color="auto" w:fill="95B3D7" w:themeFill="accent1" w:themeFillTint="99"/>
          </w:tcPr>
          <w:p w14:paraId="21F6365C" w14:textId="77777777" w:rsidR="002A0473" w:rsidRDefault="0016489A" w:rsidP="002867B6">
            <w:pPr>
              <w:jc w:val="center"/>
            </w:pPr>
            <w:r>
              <w:t>21</w:t>
            </w:r>
            <w:r w:rsidR="005876BA">
              <w:t>%</w:t>
            </w:r>
          </w:p>
        </w:tc>
        <w:tc>
          <w:tcPr>
            <w:tcW w:w="2700" w:type="dxa"/>
            <w:tcBorders>
              <w:top w:val="single" w:sz="6" w:space="0" w:color="auto"/>
              <w:left w:val="single" w:sz="18" w:space="0" w:color="auto"/>
              <w:bottom w:val="single" w:sz="6" w:space="0" w:color="auto"/>
              <w:right w:val="single" w:sz="18" w:space="0" w:color="auto"/>
            </w:tcBorders>
            <w:shd w:val="clear" w:color="auto" w:fill="D6E3BC" w:themeFill="accent3" w:themeFillTint="66"/>
          </w:tcPr>
          <w:p w14:paraId="7D9026A8" w14:textId="77777777" w:rsidR="002A0473" w:rsidRPr="0092139F" w:rsidRDefault="0016489A" w:rsidP="002867B6">
            <w:pPr>
              <w:jc w:val="center"/>
            </w:pPr>
            <w:r>
              <w:t>27%</w:t>
            </w:r>
          </w:p>
        </w:tc>
      </w:tr>
      <w:tr w:rsidR="002A0473" w:rsidRPr="003D6A09" w14:paraId="4A51049D" w14:textId="77777777" w:rsidTr="002867B6">
        <w:tc>
          <w:tcPr>
            <w:tcW w:w="1800" w:type="dxa"/>
            <w:tcBorders>
              <w:right w:val="single" w:sz="18" w:space="0" w:color="auto"/>
            </w:tcBorders>
          </w:tcPr>
          <w:p w14:paraId="009E6A5F" w14:textId="77777777" w:rsidR="002A0473" w:rsidRPr="006D5E7E" w:rsidRDefault="002A0473" w:rsidP="002867B6">
            <w:pPr>
              <w:rPr>
                <w:sz w:val="20"/>
                <w:szCs w:val="20"/>
              </w:rPr>
            </w:pPr>
            <w:r>
              <w:rPr>
                <w:sz w:val="20"/>
                <w:szCs w:val="20"/>
              </w:rPr>
              <w:t>Post-Test Rate **</w:t>
            </w:r>
          </w:p>
        </w:tc>
        <w:tc>
          <w:tcPr>
            <w:tcW w:w="2250" w:type="dxa"/>
            <w:tcBorders>
              <w:top w:val="single" w:sz="6" w:space="0" w:color="auto"/>
              <w:left w:val="single" w:sz="6" w:space="0" w:color="auto"/>
              <w:bottom w:val="single" w:sz="18" w:space="0" w:color="auto"/>
              <w:right w:val="single" w:sz="18" w:space="0" w:color="auto"/>
            </w:tcBorders>
            <w:shd w:val="clear" w:color="auto" w:fill="FFFF99"/>
          </w:tcPr>
          <w:p w14:paraId="586381CC" w14:textId="77777777" w:rsidR="002A0473" w:rsidRPr="0092139F" w:rsidRDefault="005876BA" w:rsidP="002867B6">
            <w:pPr>
              <w:jc w:val="center"/>
            </w:pPr>
            <w:r>
              <w:t>54%</w:t>
            </w:r>
          </w:p>
        </w:tc>
        <w:tc>
          <w:tcPr>
            <w:tcW w:w="2250" w:type="dxa"/>
            <w:tcBorders>
              <w:top w:val="single" w:sz="6" w:space="0" w:color="auto"/>
              <w:left w:val="single" w:sz="18" w:space="0" w:color="auto"/>
              <w:bottom w:val="single" w:sz="18" w:space="0" w:color="auto"/>
              <w:right w:val="single" w:sz="18" w:space="0" w:color="auto"/>
            </w:tcBorders>
            <w:shd w:val="clear" w:color="auto" w:fill="95B3D7" w:themeFill="accent1" w:themeFillTint="99"/>
          </w:tcPr>
          <w:p w14:paraId="7C774D4B" w14:textId="77777777" w:rsidR="002A0473" w:rsidRDefault="002A0473" w:rsidP="002867B6">
            <w:pPr>
              <w:jc w:val="center"/>
            </w:pPr>
          </w:p>
        </w:tc>
        <w:tc>
          <w:tcPr>
            <w:tcW w:w="2700" w:type="dxa"/>
            <w:tcBorders>
              <w:top w:val="single" w:sz="6" w:space="0" w:color="auto"/>
              <w:left w:val="single" w:sz="18" w:space="0" w:color="auto"/>
              <w:bottom w:val="single" w:sz="18" w:space="0" w:color="auto"/>
              <w:right w:val="single" w:sz="18" w:space="0" w:color="auto"/>
            </w:tcBorders>
            <w:shd w:val="clear" w:color="auto" w:fill="99CCFF"/>
          </w:tcPr>
          <w:p w14:paraId="07DD27EB" w14:textId="77777777" w:rsidR="002A0473" w:rsidRPr="0092139F" w:rsidRDefault="0016489A" w:rsidP="002867B6">
            <w:pPr>
              <w:jc w:val="center"/>
            </w:pPr>
            <w:r>
              <w:t>70%</w:t>
            </w:r>
          </w:p>
        </w:tc>
      </w:tr>
    </w:tbl>
    <w:p w14:paraId="212AD540" w14:textId="77777777" w:rsidR="002A0473" w:rsidRPr="00B55E57" w:rsidRDefault="002A0473" w:rsidP="00170D35">
      <w:pPr>
        <w:pStyle w:val="NoSpacing"/>
        <w:rPr>
          <w:rFonts w:cstheme="minorHAnsi"/>
          <w:sz w:val="23"/>
          <w:szCs w:val="23"/>
        </w:rPr>
      </w:pPr>
    </w:p>
    <w:p w14:paraId="0343C667" w14:textId="77777777" w:rsidR="00420086" w:rsidRDefault="00646BAA" w:rsidP="00420086">
      <w:pPr>
        <w:rPr>
          <w:b/>
        </w:rPr>
      </w:pPr>
      <w:r>
        <w:rPr>
          <w:b/>
        </w:rPr>
        <w:t xml:space="preserve">Revised </w:t>
      </w:r>
      <w:r w:rsidR="00420086">
        <w:rPr>
          <w:b/>
        </w:rPr>
        <w:t xml:space="preserve">Unit Goals (plans for the unit for the </w:t>
      </w:r>
      <w:r>
        <w:rPr>
          <w:b/>
        </w:rPr>
        <w:t>second year of the two year plan):</w:t>
      </w:r>
    </w:p>
    <w:p w14:paraId="5A1F2233" w14:textId="77777777" w:rsidR="00170D35" w:rsidRPr="00B55E57" w:rsidRDefault="00170D35" w:rsidP="00170D35">
      <w:pPr>
        <w:pStyle w:val="NoSpacing"/>
        <w:rPr>
          <w:rFonts w:cstheme="minorHAnsi"/>
          <w:sz w:val="23"/>
          <w:szCs w:val="23"/>
        </w:rPr>
      </w:pPr>
      <w:r>
        <w:rPr>
          <w:rFonts w:cstheme="minorHAnsi"/>
          <w:b/>
          <w:sz w:val="23"/>
          <w:szCs w:val="23"/>
          <w:u w:val="single"/>
        </w:rPr>
        <w:t xml:space="preserve">Goal 1: </w:t>
      </w:r>
      <w:r w:rsidRPr="00B55E57">
        <w:rPr>
          <w:rFonts w:cstheme="minorHAnsi"/>
          <w:sz w:val="23"/>
          <w:szCs w:val="23"/>
        </w:rPr>
        <w:t>The Adult Education/GED Preparation Program will secure federal and state funds through a competitive grant application process.</w:t>
      </w:r>
    </w:p>
    <w:p w14:paraId="776FF4FD" w14:textId="77777777" w:rsidR="00170D35" w:rsidRPr="00B55E57" w:rsidRDefault="00170D35" w:rsidP="00170D35">
      <w:pPr>
        <w:pStyle w:val="NoSpacing"/>
        <w:rPr>
          <w:rFonts w:cstheme="minorHAnsi"/>
          <w:sz w:val="23"/>
          <w:szCs w:val="23"/>
        </w:rPr>
      </w:pPr>
    </w:p>
    <w:p w14:paraId="1D16856C" w14:textId="77777777" w:rsidR="00170D35" w:rsidRPr="00B55E57" w:rsidRDefault="00170D35" w:rsidP="00170D35">
      <w:pPr>
        <w:pStyle w:val="NoSpacing"/>
        <w:ind w:left="2880" w:hanging="2880"/>
        <w:rPr>
          <w:rFonts w:cstheme="minorHAnsi"/>
          <w:sz w:val="23"/>
          <w:szCs w:val="23"/>
        </w:rPr>
      </w:pPr>
      <w:r w:rsidRPr="00EB262F">
        <w:rPr>
          <w:rFonts w:cstheme="minorHAnsi"/>
          <w:b/>
          <w:sz w:val="23"/>
          <w:szCs w:val="23"/>
        </w:rPr>
        <w:t>Measurable Objective</w:t>
      </w:r>
      <w:r w:rsidRPr="00B55E57">
        <w:rPr>
          <w:rFonts w:cstheme="minorHAnsi"/>
          <w:sz w:val="23"/>
          <w:szCs w:val="23"/>
        </w:rPr>
        <w:t xml:space="preserve">: </w:t>
      </w:r>
      <w:r>
        <w:rPr>
          <w:rFonts w:cstheme="minorHAnsi"/>
          <w:sz w:val="23"/>
          <w:szCs w:val="23"/>
        </w:rPr>
        <w:tab/>
      </w:r>
      <w:r w:rsidRPr="00B55E57">
        <w:rPr>
          <w:rFonts w:cstheme="minorHAnsi"/>
          <w:sz w:val="23"/>
          <w:szCs w:val="23"/>
        </w:rPr>
        <w:t>Program staff will complete and submit a grant applicati</w:t>
      </w:r>
      <w:r>
        <w:rPr>
          <w:rFonts w:cstheme="minorHAnsi"/>
          <w:sz w:val="23"/>
          <w:szCs w:val="23"/>
        </w:rPr>
        <w:t>on as required by the Department of Postsecondary Education.</w:t>
      </w:r>
    </w:p>
    <w:p w14:paraId="04094F4A" w14:textId="77777777" w:rsidR="00170D35" w:rsidRPr="00B55E57" w:rsidRDefault="00170D35" w:rsidP="00170D35">
      <w:pPr>
        <w:pStyle w:val="NoSpacing"/>
        <w:ind w:left="720"/>
        <w:rPr>
          <w:rFonts w:cstheme="minorHAnsi"/>
          <w:sz w:val="23"/>
          <w:szCs w:val="23"/>
        </w:rPr>
      </w:pPr>
    </w:p>
    <w:p w14:paraId="74336F32" w14:textId="77777777" w:rsidR="00170D35" w:rsidRPr="00B55E57" w:rsidRDefault="00170D35" w:rsidP="00170D35">
      <w:pPr>
        <w:pStyle w:val="NoSpacing"/>
        <w:rPr>
          <w:rFonts w:cstheme="minorHAnsi"/>
          <w:sz w:val="23"/>
          <w:szCs w:val="23"/>
        </w:rPr>
      </w:pPr>
      <w:r w:rsidRPr="00EB262F">
        <w:rPr>
          <w:rFonts w:cstheme="minorHAnsi"/>
          <w:b/>
          <w:sz w:val="23"/>
          <w:szCs w:val="23"/>
        </w:rPr>
        <w:t>Method of Assessment</w:t>
      </w:r>
      <w:r w:rsidRPr="00B55E57">
        <w:rPr>
          <w:rFonts w:cstheme="minorHAnsi"/>
          <w:sz w:val="23"/>
          <w:szCs w:val="23"/>
        </w:rPr>
        <w:t xml:space="preserve">: </w:t>
      </w:r>
      <w:r>
        <w:rPr>
          <w:rFonts w:cstheme="minorHAnsi"/>
          <w:sz w:val="23"/>
          <w:szCs w:val="23"/>
        </w:rPr>
        <w:tab/>
      </w:r>
      <w:r w:rsidRPr="00B55E57">
        <w:rPr>
          <w:rFonts w:cstheme="minorHAnsi"/>
          <w:sz w:val="23"/>
          <w:szCs w:val="23"/>
        </w:rPr>
        <w:t>Achievement will be measured based on receipt of an award notice.</w:t>
      </w:r>
    </w:p>
    <w:p w14:paraId="743DBC89" w14:textId="77777777" w:rsidR="00170D35" w:rsidRPr="00B55E57" w:rsidRDefault="00170D35" w:rsidP="00170D35">
      <w:pPr>
        <w:pStyle w:val="NoSpacing"/>
        <w:ind w:left="720"/>
        <w:rPr>
          <w:rFonts w:cstheme="minorHAnsi"/>
          <w:sz w:val="23"/>
          <w:szCs w:val="23"/>
        </w:rPr>
      </w:pPr>
    </w:p>
    <w:p w14:paraId="7F76B8D8" w14:textId="77777777" w:rsidR="00170D35" w:rsidRDefault="00170D35" w:rsidP="00170D35">
      <w:pPr>
        <w:pStyle w:val="NoSpacing"/>
        <w:ind w:left="2880" w:hanging="2880"/>
        <w:rPr>
          <w:rFonts w:cstheme="minorHAnsi"/>
          <w:sz w:val="23"/>
          <w:szCs w:val="23"/>
        </w:rPr>
      </w:pPr>
      <w:r w:rsidRPr="00EB262F">
        <w:rPr>
          <w:rFonts w:cstheme="minorHAnsi"/>
          <w:b/>
          <w:sz w:val="23"/>
          <w:szCs w:val="23"/>
        </w:rPr>
        <w:t>Resources Needed</w:t>
      </w:r>
      <w:r>
        <w:rPr>
          <w:rFonts w:cstheme="minorHAnsi"/>
          <w:sz w:val="23"/>
          <w:szCs w:val="23"/>
        </w:rPr>
        <w:t>:</w:t>
      </w:r>
      <w:r>
        <w:rPr>
          <w:rFonts w:cstheme="minorHAnsi"/>
          <w:sz w:val="23"/>
          <w:szCs w:val="23"/>
        </w:rPr>
        <w:tab/>
      </w:r>
      <w:r w:rsidRPr="00B55E57">
        <w:rPr>
          <w:rFonts w:cstheme="minorHAnsi"/>
          <w:sz w:val="23"/>
          <w:szCs w:val="23"/>
        </w:rPr>
        <w:t>Federal and state grant funds awarded by the Alabama Department of Postsecondary Education will be utilized. No institutional funds are requested.</w:t>
      </w:r>
    </w:p>
    <w:p w14:paraId="089E3806" w14:textId="77777777" w:rsidR="00170D35" w:rsidRDefault="00170D35" w:rsidP="00170D35">
      <w:pPr>
        <w:pStyle w:val="NoSpacing"/>
        <w:ind w:left="2880" w:hanging="2880"/>
        <w:rPr>
          <w:rFonts w:cstheme="minorHAnsi"/>
          <w:sz w:val="23"/>
          <w:szCs w:val="23"/>
        </w:rPr>
      </w:pPr>
    </w:p>
    <w:p w14:paraId="38D7F3E7" w14:textId="77777777" w:rsidR="00170D35" w:rsidRPr="00B55E57" w:rsidRDefault="00170D35" w:rsidP="00170D35">
      <w:pPr>
        <w:pStyle w:val="NoSpacing"/>
        <w:ind w:left="2880" w:hanging="2880"/>
        <w:rPr>
          <w:rFonts w:cstheme="minorHAnsi"/>
          <w:sz w:val="23"/>
          <w:szCs w:val="23"/>
        </w:rPr>
      </w:pPr>
      <w:r>
        <w:rPr>
          <w:rFonts w:cstheme="minorHAnsi"/>
          <w:b/>
          <w:sz w:val="23"/>
          <w:szCs w:val="23"/>
        </w:rPr>
        <w:t>Estimated Cost</w:t>
      </w:r>
      <w:r w:rsidRPr="00EB262F">
        <w:rPr>
          <w:rFonts w:cstheme="minorHAnsi"/>
          <w:sz w:val="23"/>
          <w:szCs w:val="23"/>
        </w:rPr>
        <w:t>:</w:t>
      </w:r>
      <w:r>
        <w:rPr>
          <w:rFonts w:cstheme="minorHAnsi"/>
          <w:sz w:val="23"/>
          <w:szCs w:val="23"/>
        </w:rPr>
        <w:tab/>
        <w:t>None</w:t>
      </w:r>
    </w:p>
    <w:p w14:paraId="4FB4C7D3" w14:textId="77777777" w:rsidR="00170D35" w:rsidRPr="00B55E57" w:rsidRDefault="00170D35" w:rsidP="00170D35">
      <w:pPr>
        <w:pStyle w:val="NoSpacing"/>
        <w:rPr>
          <w:rFonts w:cstheme="minorHAnsi"/>
          <w:sz w:val="23"/>
          <w:szCs w:val="23"/>
        </w:rPr>
      </w:pPr>
    </w:p>
    <w:p w14:paraId="6562BA7F" w14:textId="77777777" w:rsidR="005876BA" w:rsidRDefault="005876BA">
      <w:pPr>
        <w:rPr>
          <w:rFonts w:eastAsiaTheme="minorEastAsia" w:cstheme="minorHAnsi"/>
          <w:b/>
          <w:sz w:val="23"/>
          <w:szCs w:val="23"/>
          <w:u w:val="single"/>
        </w:rPr>
      </w:pPr>
      <w:r>
        <w:rPr>
          <w:rFonts w:cstheme="minorHAnsi"/>
          <w:b/>
          <w:sz w:val="23"/>
          <w:szCs w:val="23"/>
          <w:u w:val="single"/>
        </w:rPr>
        <w:br w:type="page"/>
      </w:r>
    </w:p>
    <w:p w14:paraId="179999F8" w14:textId="77777777" w:rsidR="00170D35" w:rsidRDefault="00170D35" w:rsidP="00170D35">
      <w:pPr>
        <w:pStyle w:val="NoSpacing"/>
        <w:rPr>
          <w:rFonts w:cstheme="minorHAnsi"/>
          <w:sz w:val="23"/>
          <w:szCs w:val="23"/>
        </w:rPr>
      </w:pPr>
      <w:r>
        <w:rPr>
          <w:rFonts w:cstheme="minorHAnsi"/>
          <w:b/>
          <w:sz w:val="23"/>
          <w:szCs w:val="23"/>
          <w:u w:val="single"/>
        </w:rPr>
        <w:lastRenderedPageBreak/>
        <w:t>Goal 2:</w:t>
      </w:r>
      <w:r>
        <w:rPr>
          <w:rFonts w:cstheme="minorHAnsi"/>
          <w:b/>
          <w:sz w:val="23"/>
          <w:szCs w:val="23"/>
        </w:rPr>
        <w:t xml:space="preserve"> </w:t>
      </w:r>
      <w:r w:rsidRPr="00E13A63">
        <w:rPr>
          <w:rFonts w:cstheme="minorHAnsi"/>
          <w:sz w:val="23"/>
          <w:szCs w:val="23"/>
        </w:rPr>
        <w:t>The Adult</w:t>
      </w:r>
      <w:r>
        <w:rPr>
          <w:rFonts w:cstheme="minorHAnsi"/>
          <w:b/>
          <w:sz w:val="23"/>
          <w:szCs w:val="23"/>
        </w:rPr>
        <w:t xml:space="preserve"> </w:t>
      </w:r>
      <w:r w:rsidRPr="00E13A63">
        <w:rPr>
          <w:rFonts w:cstheme="minorHAnsi"/>
          <w:sz w:val="23"/>
          <w:szCs w:val="23"/>
        </w:rPr>
        <w:t>Education/GED Preparation</w:t>
      </w:r>
      <w:r>
        <w:rPr>
          <w:rFonts w:cstheme="minorHAnsi"/>
          <w:b/>
          <w:sz w:val="23"/>
          <w:szCs w:val="23"/>
        </w:rPr>
        <w:t xml:space="preserve"> </w:t>
      </w:r>
      <w:r w:rsidRPr="00E13A63">
        <w:rPr>
          <w:rFonts w:cstheme="minorHAnsi"/>
          <w:sz w:val="23"/>
          <w:szCs w:val="23"/>
        </w:rPr>
        <w:t xml:space="preserve">Program will promote effective administration of </w:t>
      </w:r>
      <w:r>
        <w:rPr>
          <w:rFonts w:cstheme="minorHAnsi"/>
          <w:sz w:val="23"/>
          <w:szCs w:val="23"/>
        </w:rPr>
        <w:t>services delivered in the three-county service region.</w:t>
      </w:r>
      <w:r w:rsidRPr="00E13A63">
        <w:rPr>
          <w:rFonts w:cstheme="minorHAnsi"/>
          <w:sz w:val="23"/>
          <w:szCs w:val="23"/>
        </w:rPr>
        <w:t xml:space="preserve"> </w:t>
      </w:r>
    </w:p>
    <w:p w14:paraId="7AB46DEC" w14:textId="77777777" w:rsidR="00170D35" w:rsidRDefault="00170D35" w:rsidP="00170D35">
      <w:pPr>
        <w:pStyle w:val="NoSpacing"/>
        <w:rPr>
          <w:rFonts w:cstheme="minorHAnsi"/>
          <w:sz w:val="23"/>
          <w:szCs w:val="23"/>
        </w:rPr>
      </w:pPr>
    </w:p>
    <w:p w14:paraId="76E9E4BA" w14:textId="77777777" w:rsidR="00170D35" w:rsidRDefault="00170D35" w:rsidP="00170D35">
      <w:pPr>
        <w:pStyle w:val="NoSpacing"/>
        <w:ind w:left="2880" w:hanging="2880"/>
        <w:rPr>
          <w:rFonts w:cstheme="minorHAnsi"/>
          <w:sz w:val="23"/>
          <w:szCs w:val="23"/>
        </w:rPr>
      </w:pPr>
      <w:r w:rsidRPr="00E13A63">
        <w:rPr>
          <w:rFonts w:cstheme="minorHAnsi"/>
          <w:b/>
          <w:sz w:val="23"/>
          <w:szCs w:val="23"/>
        </w:rPr>
        <w:t>Measurable Objective:</w:t>
      </w:r>
      <w:r w:rsidR="00743DAD">
        <w:rPr>
          <w:rFonts w:cstheme="minorHAnsi"/>
          <w:sz w:val="23"/>
          <w:szCs w:val="23"/>
        </w:rPr>
        <w:tab/>
        <w:t>Partnerships with various industries, businesses, agencies, etc., will be strengthened.</w:t>
      </w:r>
    </w:p>
    <w:p w14:paraId="05F8A64A" w14:textId="77777777" w:rsidR="00170D35" w:rsidRDefault="00170D35" w:rsidP="00170D35">
      <w:pPr>
        <w:pStyle w:val="NoSpacing"/>
        <w:rPr>
          <w:rFonts w:cstheme="minorHAnsi"/>
          <w:b/>
          <w:sz w:val="23"/>
          <w:szCs w:val="23"/>
        </w:rPr>
      </w:pPr>
    </w:p>
    <w:p w14:paraId="2F101BF5" w14:textId="77777777" w:rsidR="00170D35" w:rsidRPr="00743DAD" w:rsidRDefault="00170D35" w:rsidP="00170D35">
      <w:pPr>
        <w:pStyle w:val="NoSpacing"/>
        <w:ind w:left="2880" w:hanging="2880"/>
        <w:rPr>
          <w:rFonts w:cstheme="minorHAnsi"/>
          <w:sz w:val="23"/>
          <w:szCs w:val="23"/>
        </w:rPr>
      </w:pPr>
      <w:r w:rsidRPr="00E13A63">
        <w:rPr>
          <w:rFonts w:cstheme="minorHAnsi"/>
          <w:b/>
          <w:sz w:val="23"/>
          <w:szCs w:val="23"/>
        </w:rPr>
        <w:t>Method of Assessment:</w:t>
      </w:r>
      <w:r w:rsidRPr="00E13A63">
        <w:rPr>
          <w:rFonts w:cstheme="minorHAnsi"/>
          <w:b/>
          <w:sz w:val="23"/>
          <w:szCs w:val="23"/>
        </w:rPr>
        <w:tab/>
      </w:r>
      <w:r w:rsidR="00743DAD">
        <w:rPr>
          <w:rFonts w:cstheme="minorHAnsi"/>
          <w:sz w:val="23"/>
          <w:szCs w:val="23"/>
        </w:rPr>
        <w:t>Program data as provided through the Adult Education’s AAESAP database will be analyzed to monitor enrollment and determine if measures implemented are successful.</w:t>
      </w:r>
    </w:p>
    <w:p w14:paraId="180D4CE4" w14:textId="77777777" w:rsidR="00170D35" w:rsidRDefault="00170D35" w:rsidP="00170D35">
      <w:pPr>
        <w:pStyle w:val="NoSpacing"/>
        <w:ind w:left="2880" w:hanging="2880"/>
        <w:rPr>
          <w:rFonts w:cstheme="minorHAnsi"/>
          <w:b/>
          <w:sz w:val="23"/>
          <w:szCs w:val="23"/>
        </w:rPr>
      </w:pPr>
    </w:p>
    <w:p w14:paraId="514B73DC" w14:textId="77777777" w:rsidR="00170D35" w:rsidRDefault="00170D35" w:rsidP="00170D35">
      <w:pPr>
        <w:pStyle w:val="NoSpacing"/>
        <w:ind w:left="2880" w:hanging="2880"/>
        <w:rPr>
          <w:rFonts w:cstheme="minorHAnsi"/>
          <w:sz w:val="23"/>
          <w:szCs w:val="23"/>
        </w:rPr>
      </w:pPr>
      <w:r>
        <w:rPr>
          <w:rFonts w:cstheme="minorHAnsi"/>
          <w:b/>
          <w:sz w:val="23"/>
          <w:szCs w:val="23"/>
        </w:rPr>
        <w:t>Resources Needed:</w:t>
      </w:r>
      <w:r>
        <w:rPr>
          <w:rFonts w:cstheme="minorHAnsi"/>
          <w:b/>
          <w:sz w:val="23"/>
          <w:szCs w:val="23"/>
        </w:rPr>
        <w:tab/>
      </w:r>
      <w:r w:rsidRPr="009A618A">
        <w:rPr>
          <w:rFonts w:cstheme="minorHAnsi"/>
          <w:sz w:val="23"/>
          <w:szCs w:val="23"/>
        </w:rPr>
        <w:t xml:space="preserve"> </w:t>
      </w:r>
      <w:r w:rsidR="00743DAD" w:rsidRPr="00B55E57">
        <w:rPr>
          <w:rFonts w:cstheme="minorHAnsi"/>
          <w:sz w:val="23"/>
          <w:szCs w:val="23"/>
        </w:rPr>
        <w:t>Federal and state grant funds awarded by the Alabama Department of Postsecondary Education will be utilized. No institutional funds are requested</w:t>
      </w:r>
      <w:r w:rsidR="00743DAD" w:rsidRPr="00743DAD">
        <w:rPr>
          <w:rFonts w:cstheme="minorHAnsi"/>
          <w:sz w:val="23"/>
          <w:szCs w:val="23"/>
        </w:rPr>
        <w:t>.</w:t>
      </w:r>
    </w:p>
    <w:p w14:paraId="56A89F21" w14:textId="77777777" w:rsidR="00170D35" w:rsidRDefault="00170D35" w:rsidP="00170D35">
      <w:pPr>
        <w:pStyle w:val="NoSpacing"/>
        <w:ind w:left="2880" w:hanging="2880"/>
        <w:rPr>
          <w:rFonts w:cstheme="minorHAnsi"/>
          <w:sz w:val="23"/>
          <w:szCs w:val="23"/>
        </w:rPr>
      </w:pPr>
    </w:p>
    <w:p w14:paraId="1DED9785" w14:textId="77777777" w:rsidR="00170D35" w:rsidRPr="00743DAD" w:rsidRDefault="00170D35" w:rsidP="00170D35">
      <w:pPr>
        <w:pStyle w:val="NoSpacing"/>
        <w:ind w:left="2880" w:hanging="2880"/>
        <w:rPr>
          <w:rFonts w:cstheme="minorHAnsi"/>
          <w:sz w:val="23"/>
          <w:szCs w:val="23"/>
        </w:rPr>
      </w:pPr>
      <w:r>
        <w:rPr>
          <w:rFonts w:cstheme="minorHAnsi"/>
          <w:b/>
          <w:sz w:val="23"/>
          <w:szCs w:val="23"/>
        </w:rPr>
        <w:t>Estimated Cost:</w:t>
      </w:r>
      <w:r>
        <w:rPr>
          <w:rFonts w:cstheme="minorHAnsi"/>
          <w:b/>
          <w:sz w:val="23"/>
          <w:szCs w:val="23"/>
        </w:rPr>
        <w:tab/>
      </w:r>
      <w:r w:rsidR="00743DAD" w:rsidRPr="00743DAD">
        <w:rPr>
          <w:rFonts w:cstheme="minorHAnsi"/>
          <w:sz w:val="23"/>
          <w:szCs w:val="23"/>
        </w:rPr>
        <w:t>None</w:t>
      </w:r>
      <w:r w:rsidR="00743DAD">
        <w:rPr>
          <w:rFonts w:cstheme="minorHAnsi"/>
          <w:b/>
          <w:sz w:val="23"/>
          <w:szCs w:val="23"/>
        </w:rPr>
        <w:t>.</w:t>
      </w:r>
    </w:p>
    <w:p w14:paraId="3EDA9DB0" w14:textId="77777777" w:rsidR="00170D35" w:rsidRPr="00743DAD" w:rsidRDefault="00170D35" w:rsidP="00170D35">
      <w:pPr>
        <w:pStyle w:val="NoSpacing"/>
        <w:rPr>
          <w:rFonts w:cstheme="minorHAnsi"/>
          <w:sz w:val="23"/>
          <w:szCs w:val="23"/>
          <w:u w:val="single"/>
        </w:rPr>
      </w:pPr>
    </w:p>
    <w:p w14:paraId="63E030A4" w14:textId="77777777" w:rsidR="00170D35" w:rsidRPr="00B55E57" w:rsidRDefault="00170D35" w:rsidP="00170D35">
      <w:pPr>
        <w:pStyle w:val="NoSpacing"/>
        <w:rPr>
          <w:rFonts w:cstheme="minorHAnsi"/>
          <w:sz w:val="23"/>
          <w:szCs w:val="23"/>
        </w:rPr>
      </w:pPr>
      <w:r>
        <w:rPr>
          <w:rFonts w:cstheme="minorHAnsi"/>
          <w:b/>
          <w:sz w:val="23"/>
          <w:szCs w:val="23"/>
          <w:u w:val="single"/>
        </w:rPr>
        <w:t xml:space="preserve">Goal 3: </w:t>
      </w:r>
      <w:r w:rsidRPr="00B55E57">
        <w:rPr>
          <w:rFonts w:cstheme="minorHAnsi"/>
          <w:sz w:val="23"/>
          <w:szCs w:val="23"/>
        </w:rPr>
        <w:t>The Adult Education/GED Preparation Program will promote access to instructional assistance and supportive services at key locations in the program’s established service region.</w:t>
      </w:r>
    </w:p>
    <w:p w14:paraId="2AB6FD43" w14:textId="77777777" w:rsidR="00170D35" w:rsidRPr="00B55E57" w:rsidRDefault="00170D35" w:rsidP="00170D35">
      <w:pPr>
        <w:pStyle w:val="NoSpacing"/>
        <w:rPr>
          <w:rFonts w:cstheme="minorHAnsi"/>
          <w:sz w:val="23"/>
          <w:szCs w:val="23"/>
        </w:rPr>
      </w:pPr>
    </w:p>
    <w:p w14:paraId="491ECC94" w14:textId="77777777" w:rsidR="00170D35" w:rsidRPr="00B55E57" w:rsidRDefault="00170D35" w:rsidP="00170D35">
      <w:pPr>
        <w:pStyle w:val="NoSpacing"/>
        <w:ind w:left="2880" w:hanging="2880"/>
        <w:rPr>
          <w:rFonts w:cstheme="minorHAnsi"/>
          <w:sz w:val="23"/>
          <w:szCs w:val="23"/>
        </w:rPr>
      </w:pPr>
      <w:r w:rsidRPr="00EB262F">
        <w:rPr>
          <w:rFonts w:cstheme="minorHAnsi"/>
          <w:b/>
          <w:sz w:val="23"/>
          <w:szCs w:val="23"/>
        </w:rPr>
        <w:t>Measurable Objective</w:t>
      </w:r>
      <w:r w:rsidRPr="00B55E57">
        <w:rPr>
          <w:rFonts w:cstheme="minorHAnsi"/>
          <w:sz w:val="23"/>
          <w:szCs w:val="23"/>
        </w:rPr>
        <w:t xml:space="preserve">: </w:t>
      </w:r>
      <w:r>
        <w:rPr>
          <w:rFonts w:cstheme="minorHAnsi"/>
          <w:sz w:val="23"/>
          <w:szCs w:val="23"/>
        </w:rPr>
        <w:tab/>
      </w:r>
      <w:r w:rsidRPr="00B55E57">
        <w:rPr>
          <w:rFonts w:cstheme="minorHAnsi"/>
          <w:sz w:val="23"/>
          <w:szCs w:val="23"/>
        </w:rPr>
        <w:t>Day and evening classes at convenient locations within the service region will be advertised and provided.</w:t>
      </w:r>
    </w:p>
    <w:p w14:paraId="3D9B306B" w14:textId="77777777" w:rsidR="00170D35" w:rsidRPr="00B55E57" w:rsidRDefault="00170D35" w:rsidP="00170D35">
      <w:pPr>
        <w:pStyle w:val="NoSpacing"/>
        <w:ind w:left="720"/>
        <w:rPr>
          <w:rFonts w:cstheme="minorHAnsi"/>
          <w:sz w:val="23"/>
          <w:szCs w:val="23"/>
        </w:rPr>
      </w:pPr>
    </w:p>
    <w:p w14:paraId="059D4CDF" w14:textId="77777777" w:rsidR="00170D35" w:rsidRPr="00B55E57" w:rsidRDefault="00170D35" w:rsidP="00170D35">
      <w:pPr>
        <w:pStyle w:val="NoSpacing"/>
        <w:ind w:left="2880" w:hanging="2880"/>
        <w:rPr>
          <w:rFonts w:cstheme="minorHAnsi"/>
          <w:sz w:val="23"/>
          <w:szCs w:val="23"/>
        </w:rPr>
      </w:pPr>
      <w:r w:rsidRPr="00EB262F">
        <w:rPr>
          <w:rFonts w:cstheme="minorHAnsi"/>
          <w:b/>
          <w:sz w:val="23"/>
          <w:szCs w:val="23"/>
        </w:rPr>
        <w:t>Method of Assessment</w:t>
      </w:r>
      <w:r w:rsidRPr="00B55E57">
        <w:rPr>
          <w:rFonts w:cstheme="minorHAnsi"/>
          <w:sz w:val="23"/>
          <w:szCs w:val="23"/>
        </w:rPr>
        <w:t xml:space="preserve">: </w:t>
      </w:r>
      <w:r>
        <w:rPr>
          <w:rFonts w:cstheme="minorHAnsi"/>
          <w:sz w:val="23"/>
          <w:szCs w:val="23"/>
        </w:rPr>
        <w:tab/>
      </w:r>
      <w:r w:rsidRPr="00B55E57">
        <w:rPr>
          <w:rFonts w:cstheme="minorHAnsi"/>
          <w:sz w:val="23"/>
          <w:szCs w:val="23"/>
        </w:rPr>
        <w:t>Program staff will maintain a roster of available classes offered by the program as well as classes offered by other programs. Staff will maintain logs of inquiries related to available classes. Records will be maintained to document potential sites for new classes based on lack of currently available classes. These records will be reviewed as funds are available to support implementation of new classes.</w:t>
      </w:r>
    </w:p>
    <w:p w14:paraId="7E9AABDF" w14:textId="77777777" w:rsidR="00170D35" w:rsidRPr="00B55E57" w:rsidRDefault="00170D35" w:rsidP="00170D35">
      <w:pPr>
        <w:pStyle w:val="NoSpacing"/>
        <w:ind w:left="720"/>
        <w:rPr>
          <w:rFonts w:cstheme="minorHAnsi"/>
          <w:sz w:val="23"/>
          <w:szCs w:val="23"/>
        </w:rPr>
      </w:pPr>
    </w:p>
    <w:p w14:paraId="0EC0984E" w14:textId="77777777" w:rsidR="00170D35" w:rsidRDefault="00170D35" w:rsidP="00170D35">
      <w:pPr>
        <w:pStyle w:val="NoSpacing"/>
        <w:ind w:left="2880" w:hanging="2880"/>
        <w:rPr>
          <w:rFonts w:cstheme="minorHAnsi"/>
          <w:sz w:val="23"/>
          <w:szCs w:val="23"/>
        </w:rPr>
      </w:pPr>
      <w:r w:rsidRPr="00EB262F">
        <w:rPr>
          <w:rFonts w:cstheme="minorHAnsi"/>
          <w:b/>
          <w:sz w:val="23"/>
          <w:szCs w:val="23"/>
        </w:rPr>
        <w:t>Resources Needed:</w:t>
      </w:r>
      <w:r>
        <w:rPr>
          <w:rFonts w:cstheme="minorHAnsi"/>
          <w:sz w:val="23"/>
          <w:szCs w:val="23"/>
        </w:rPr>
        <w:t xml:space="preserve"> </w:t>
      </w:r>
      <w:r>
        <w:rPr>
          <w:rFonts w:cstheme="minorHAnsi"/>
          <w:sz w:val="23"/>
          <w:szCs w:val="23"/>
        </w:rPr>
        <w:tab/>
      </w:r>
      <w:r w:rsidRPr="00B55E57">
        <w:rPr>
          <w:rFonts w:cstheme="minorHAnsi"/>
          <w:sz w:val="23"/>
          <w:szCs w:val="23"/>
        </w:rPr>
        <w:t>Federal and state grant funds awarded by the Alabama Department of Postsecondary Education will be utilized. No institutional funds are requested.</w:t>
      </w:r>
    </w:p>
    <w:p w14:paraId="0D9F996B" w14:textId="77777777" w:rsidR="00170D35" w:rsidRDefault="00170D35" w:rsidP="00170D35">
      <w:pPr>
        <w:pStyle w:val="NoSpacing"/>
        <w:ind w:left="2880" w:hanging="2880"/>
        <w:rPr>
          <w:rFonts w:cstheme="minorHAnsi"/>
          <w:b/>
          <w:sz w:val="23"/>
          <w:szCs w:val="23"/>
        </w:rPr>
      </w:pPr>
    </w:p>
    <w:p w14:paraId="3ECD5060" w14:textId="77777777" w:rsidR="00170D35" w:rsidRPr="00B55E57" w:rsidRDefault="00170D35" w:rsidP="00170D35">
      <w:pPr>
        <w:pStyle w:val="NoSpacing"/>
        <w:ind w:left="2880" w:hanging="2880"/>
        <w:rPr>
          <w:rFonts w:cstheme="minorHAnsi"/>
          <w:sz w:val="23"/>
          <w:szCs w:val="23"/>
        </w:rPr>
      </w:pPr>
      <w:r>
        <w:rPr>
          <w:rFonts w:cstheme="minorHAnsi"/>
          <w:b/>
          <w:sz w:val="23"/>
          <w:szCs w:val="23"/>
        </w:rPr>
        <w:t>Estimated Cost</w:t>
      </w:r>
      <w:r w:rsidRPr="00EB262F">
        <w:rPr>
          <w:rFonts w:cstheme="minorHAnsi"/>
          <w:sz w:val="23"/>
          <w:szCs w:val="23"/>
        </w:rPr>
        <w:t>:</w:t>
      </w:r>
      <w:r>
        <w:rPr>
          <w:rFonts w:cstheme="minorHAnsi"/>
          <w:sz w:val="23"/>
          <w:szCs w:val="23"/>
        </w:rPr>
        <w:tab/>
        <w:t>None</w:t>
      </w:r>
    </w:p>
    <w:p w14:paraId="659136AF" w14:textId="77777777" w:rsidR="00170D35" w:rsidRPr="00B55E57" w:rsidRDefault="00170D35" w:rsidP="00170D35">
      <w:pPr>
        <w:pStyle w:val="NoSpacing"/>
        <w:rPr>
          <w:rFonts w:cstheme="minorHAnsi"/>
          <w:sz w:val="23"/>
          <w:szCs w:val="23"/>
        </w:rPr>
      </w:pPr>
    </w:p>
    <w:p w14:paraId="0EEBC02D" w14:textId="77777777" w:rsidR="00170D35" w:rsidRPr="00B55E57" w:rsidRDefault="00170D35" w:rsidP="00170D35">
      <w:pPr>
        <w:pStyle w:val="NoSpacing"/>
        <w:rPr>
          <w:rFonts w:cstheme="minorHAnsi"/>
          <w:sz w:val="23"/>
          <w:szCs w:val="23"/>
        </w:rPr>
      </w:pPr>
      <w:r>
        <w:rPr>
          <w:rFonts w:cstheme="minorHAnsi"/>
          <w:b/>
          <w:sz w:val="23"/>
          <w:szCs w:val="23"/>
          <w:u w:val="single"/>
        </w:rPr>
        <w:t>Goal 4</w:t>
      </w:r>
      <w:r>
        <w:rPr>
          <w:rFonts w:cstheme="minorHAnsi"/>
          <w:sz w:val="23"/>
          <w:szCs w:val="23"/>
        </w:rPr>
        <w:t xml:space="preserve">: </w:t>
      </w:r>
      <w:r w:rsidRPr="00B55E57">
        <w:rPr>
          <w:rFonts w:cstheme="minorHAnsi"/>
          <w:sz w:val="23"/>
          <w:szCs w:val="23"/>
        </w:rPr>
        <w:t>The Adult Education/GED Preparation Program will promote advancement in educational functioning levels for adults enrolled in the program.</w:t>
      </w:r>
    </w:p>
    <w:p w14:paraId="053847B5" w14:textId="77777777" w:rsidR="00170D35" w:rsidRPr="00B55E57" w:rsidRDefault="00170D35" w:rsidP="00170D35">
      <w:pPr>
        <w:pStyle w:val="NoSpacing"/>
        <w:rPr>
          <w:rFonts w:cstheme="minorHAnsi"/>
          <w:sz w:val="23"/>
          <w:szCs w:val="23"/>
        </w:rPr>
      </w:pPr>
    </w:p>
    <w:p w14:paraId="5B23978F" w14:textId="77777777" w:rsidR="00170D35" w:rsidRPr="00B55E57" w:rsidRDefault="00170D35" w:rsidP="00170D35">
      <w:pPr>
        <w:pStyle w:val="NoSpacing"/>
        <w:ind w:left="2880" w:hanging="2880"/>
        <w:rPr>
          <w:rFonts w:cstheme="minorHAnsi"/>
          <w:sz w:val="23"/>
          <w:szCs w:val="23"/>
        </w:rPr>
      </w:pPr>
      <w:r w:rsidRPr="00EB262F">
        <w:rPr>
          <w:rFonts w:cstheme="minorHAnsi"/>
          <w:b/>
          <w:sz w:val="23"/>
          <w:szCs w:val="23"/>
        </w:rPr>
        <w:t>Measurable Objective</w:t>
      </w:r>
      <w:r w:rsidRPr="00B55E57">
        <w:rPr>
          <w:rFonts w:cstheme="minorHAnsi"/>
          <w:sz w:val="23"/>
          <w:szCs w:val="23"/>
        </w:rPr>
        <w:t xml:space="preserve">: </w:t>
      </w:r>
      <w:r>
        <w:rPr>
          <w:rFonts w:cstheme="minorHAnsi"/>
          <w:sz w:val="23"/>
          <w:szCs w:val="23"/>
        </w:rPr>
        <w:tab/>
      </w:r>
      <w:r w:rsidRPr="00B55E57">
        <w:rPr>
          <w:rFonts w:cstheme="minorHAnsi"/>
          <w:sz w:val="23"/>
          <w:szCs w:val="23"/>
        </w:rPr>
        <w:t>Program staff will provide orientation, assessment, and instruction for adults seeking to increase their literacy skills and earn the secondary school credential.</w:t>
      </w:r>
    </w:p>
    <w:p w14:paraId="7F7A3A9D" w14:textId="77777777" w:rsidR="00170D35" w:rsidRPr="00B55E57" w:rsidRDefault="00170D35" w:rsidP="00170D35">
      <w:pPr>
        <w:pStyle w:val="NoSpacing"/>
        <w:ind w:left="720"/>
        <w:rPr>
          <w:rFonts w:cstheme="minorHAnsi"/>
          <w:sz w:val="23"/>
          <w:szCs w:val="23"/>
        </w:rPr>
      </w:pPr>
    </w:p>
    <w:p w14:paraId="0F2787EF" w14:textId="77777777" w:rsidR="00170D35" w:rsidRPr="00B55E57" w:rsidRDefault="00170D35" w:rsidP="00170D35">
      <w:pPr>
        <w:pStyle w:val="NoSpacing"/>
        <w:ind w:left="2880" w:hanging="2880"/>
        <w:rPr>
          <w:rFonts w:cstheme="minorHAnsi"/>
          <w:sz w:val="23"/>
          <w:szCs w:val="23"/>
        </w:rPr>
      </w:pPr>
      <w:r w:rsidRPr="00EB262F">
        <w:rPr>
          <w:rFonts w:cstheme="minorHAnsi"/>
          <w:b/>
          <w:sz w:val="23"/>
          <w:szCs w:val="23"/>
        </w:rPr>
        <w:t>Method of Assessment</w:t>
      </w:r>
      <w:r w:rsidRPr="00B55E57">
        <w:rPr>
          <w:rFonts w:cstheme="minorHAnsi"/>
          <w:sz w:val="23"/>
          <w:szCs w:val="23"/>
        </w:rPr>
        <w:t xml:space="preserve">: </w:t>
      </w:r>
      <w:r>
        <w:rPr>
          <w:rFonts w:cstheme="minorHAnsi"/>
          <w:sz w:val="23"/>
          <w:szCs w:val="23"/>
        </w:rPr>
        <w:tab/>
      </w:r>
      <w:r w:rsidRPr="00B55E57">
        <w:rPr>
          <w:rFonts w:cstheme="minorHAnsi"/>
          <w:sz w:val="23"/>
          <w:szCs w:val="23"/>
        </w:rPr>
        <w:t xml:space="preserve">Analysis of student data maintained in AAESAP, the adult education database. A report will be reviewed with the expectation that at least </w:t>
      </w:r>
      <w:r w:rsidR="00743DAD">
        <w:rPr>
          <w:rFonts w:cstheme="minorHAnsi"/>
          <w:sz w:val="23"/>
          <w:szCs w:val="23"/>
        </w:rPr>
        <w:t>5</w:t>
      </w:r>
      <w:r w:rsidRPr="00B55E57">
        <w:rPr>
          <w:rFonts w:cstheme="minorHAnsi"/>
          <w:sz w:val="23"/>
          <w:szCs w:val="23"/>
        </w:rPr>
        <w:t>0% of learners will advance at least one educational functioning level.</w:t>
      </w:r>
    </w:p>
    <w:p w14:paraId="7A9688B4" w14:textId="77777777" w:rsidR="00170D35" w:rsidRPr="00B55E57" w:rsidRDefault="00170D35" w:rsidP="00170D35">
      <w:pPr>
        <w:pStyle w:val="NoSpacing"/>
        <w:ind w:left="720"/>
        <w:rPr>
          <w:rFonts w:cstheme="minorHAnsi"/>
          <w:sz w:val="23"/>
          <w:szCs w:val="23"/>
        </w:rPr>
      </w:pPr>
    </w:p>
    <w:p w14:paraId="7C075A06" w14:textId="77777777" w:rsidR="00170D35" w:rsidRPr="00B55E57" w:rsidRDefault="00170D35" w:rsidP="00170D35">
      <w:pPr>
        <w:pStyle w:val="NoSpacing"/>
        <w:ind w:left="2880" w:hanging="2880"/>
        <w:rPr>
          <w:rFonts w:cstheme="minorHAnsi"/>
          <w:sz w:val="23"/>
          <w:szCs w:val="23"/>
        </w:rPr>
      </w:pPr>
      <w:r w:rsidRPr="00EB262F">
        <w:rPr>
          <w:rFonts w:cstheme="minorHAnsi"/>
          <w:b/>
          <w:sz w:val="23"/>
          <w:szCs w:val="23"/>
        </w:rPr>
        <w:t>Resources Needed</w:t>
      </w:r>
      <w:r>
        <w:rPr>
          <w:rFonts w:cstheme="minorHAnsi"/>
          <w:sz w:val="23"/>
          <w:szCs w:val="23"/>
        </w:rPr>
        <w:t xml:space="preserve">: </w:t>
      </w:r>
      <w:r>
        <w:rPr>
          <w:rFonts w:cstheme="minorHAnsi"/>
          <w:sz w:val="23"/>
          <w:szCs w:val="23"/>
        </w:rPr>
        <w:tab/>
      </w:r>
      <w:r w:rsidRPr="00B55E57">
        <w:rPr>
          <w:rFonts w:cstheme="minorHAnsi"/>
          <w:sz w:val="23"/>
          <w:szCs w:val="23"/>
        </w:rPr>
        <w:t>Federal and state grant funds awarded by the Alabama Department of Postsecondary Education will be utilized. No institutional funds are requested.</w:t>
      </w:r>
    </w:p>
    <w:p w14:paraId="4115831A" w14:textId="77777777" w:rsidR="00170D35" w:rsidRDefault="00170D35" w:rsidP="00170D35">
      <w:pPr>
        <w:pStyle w:val="NoSpacing"/>
        <w:rPr>
          <w:rFonts w:cstheme="minorHAnsi"/>
          <w:sz w:val="23"/>
          <w:szCs w:val="23"/>
        </w:rPr>
      </w:pPr>
    </w:p>
    <w:p w14:paraId="71535E13" w14:textId="77777777" w:rsidR="00170D35" w:rsidRPr="00B55E57" w:rsidRDefault="00170D35" w:rsidP="00170D35">
      <w:pPr>
        <w:pStyle w:val="NoSpacing"/>
        <w:ind w:left="2880" w:hanging="2880"/>
        <w:rPr>
          <w:rFonts w:cstheme="minorHAnsi"/>
          <w:sz w:val="23"/>
          <w:szCs w:val="23"/>
        </w:rPr>
      </w:pPr>
      <w:r>
        <w:rPr>
          <w:rFonts w:cstheme="minorHAnsi"/>
          <w:b/>
          <w:sz w:val="23"/>
          <w:szCs w:val="23"/>
        </w:rPr>
        <w:t>Estimated Cost</w:t>
      </w:r>
      <w:r w:rsidRPr="00EB262F">
        <w:rPr>
          <w:rFonts w:cstheme="minorHAnsi"/>
          <w:sz w:val="23"/>
          <w:szCs w:val="23"/>
        </w:rPr>
        <w:t>:</w:t>
      </w:r>
      <w:r>
        <w:rPr>
          <w:rFonts w:cstheme="minorHAnsi"/>
          <w:sz w:val="23"/>
          <w:szCs w:val="23"/>
        </w:rPr>
        <w:tab/>
        <w:t>None</w:t>
      </w:r>
    </w:p>
    <w:p w14:paraId="264CF2BE" w14:textId="77777777" w:rsidR="00170D35" w:rsidRPr="00B55E57" w:rsidRDefault="00170D35" w:rsidP="00170D35">
      <w:pPr>
        <w:pStyle w:val="NoSpacing"/>
        <w:rPr>
          <w:rFonts w:cstheme="minorHAnsi"/>
          <w:sz w:val="23"/>
          <w:szCs w:val="23"/>
        </w:rPr>
      </w:pPr>
    </w:p>
    <w:p w14:paraId="710935F7" w14:textId="77777777" w:rsidR="00170D35" w:rsidRPr="00B55E57" w:rsidRDefault="00170D35" w:rsidP="00170D35">
      <w:pPr>
        <w:pStyle w:val="NoSpacing"/>
        <w:rPr>
          <w:rFonts w:cstheme="minorHAnsi"/>
          <w:sz w:val="23"/>
          <w:szCs w:val="23"/>
        </w:rPr>
      </w:pPr>
      <w:r>
        <w:rPr>
          <w:rFonts w:cstheme="minorHAnsi"/>
          <w:b/>
          <w:sz w:val="23"/>
          <w:szCs w:val="23"/>
          <w:u w:val="single"/>
        </w:rPr>
        <w:t xml:space="preserve">Goal 5: </w:t>
      </w:r>
      <w:r w:rsidRPr="00B55E57">
        <w:rPr>
          <w:rFonts w:cstheme="minorHAnsi"/>
          <w:sz w:val="23"/>
          <w:szCs w:val="23"/>
        </w:rPr>
        <w:t>The Adult Education/GED Preparation Program will respond to community needs to provide literacy services in areas not currently served or underserved.</w:t>
      </w:r>
    </w:p>
    <w:p w14:paraId="096847DC" w14:textId="77777777" w:rsidR="00170D35" w:rsidRPr="00B55E57" w:rsidRDefault="00170D35" w:rsidP="00170D35">
      <w:pPr>
        <w:pStyle w:val="NoSpacing"/>
        <w:rPr>
          <w:rFonts w:cstheme="minorHAnsi"/>
          <w:sz w:val="23"/>
          <w:szCs w:val="23"/>
        </w:rPr>
      </w:pPr>
    </w:p>
    <w:p w14:paraId="0099719B" w14:textId="77777777" w:rsidR="00170D35" w:rsidRPr="00B55E57" w:rsidRDefault="00170D35" w:rsidP="00170D35">
      <w:pPr>
        <w:pStyle w:val="NoSpacing"/>
        <w:ind w:left="2880" w:hanging="2880"/>
        <w:rPr>
          <w:rFonts w:cstheme="minorHAnsi"/>
          <w:sz w:val="23"/>
          <w:szCs w:val="23"/>
        </w:rPr>
      </w:pPr>
      <w:r w:rsidRPr="00EB262F">
        <w:rPr>
          <w:rFonts w:cstheme="minorHAnsi"/>
          <w:b/>
          <w:sz w:val="23"/>
          <w:szCs w:val="23"/>
        </w:rPr>
        <w:t>Measurable Objective</w:t>
      </w:r>
      <w:r w:rsidRPr="00B55E57">
        <w:rPr>
          <w:rFonts w:cstheme="minorHAnsi"/>
          <w:sz w:val="23"/>
          <w:szCs w:val="23"/>
        </w:rPr>
        <w:t xml:space="preserve">: </w:t>
      </w:r>
      <w:r>
        <w:rPr>
          <w:rFonts w:cstheme="minorHAnsi"/>
          <w:sz w:val="23"/>
          <w:szCs w:val="23"/>
        </w:rPr>
        <w:tab/>
      </w:r>
      <w:r w:rsidRPr="00B55E57">
        <w:rPr>
          <w:rFonts w:cstheme="minorHAnsi"/>
          <w:sz w:val="23"/>
          <w:szCs w:val="23"/>
        </w:rPr>
        <w:t>Program resources will be allocated to implement or expand literacy services in communities not currently served or underserved.</w:t>
      </w:r>
    </w:p>
    <w:p w14:paraId="19A80102" w14:textId="77777777" w:rsidR="00170D35" w:rsidRPr="00B55E57" w:rsidRDefault="00170D35" w:rsidP="00170D35">
      <w:pPr>
        <w:pStyle w:val="NoSpacing"/>
        <w:ind w:left="720"/>
        <w:rPr>
          <w:rFonts w:cstheme="minorHAnsi"/>
          <w:sz w:val="23"/>
          <w:szCs w:val="23"/>
        </w:rPr>
      </w:pPr>
    </w:p>
    <w:p w14:paraId="5D3B57F5" w14:textId="77777777" w:rsidR="00170D35" w:rsidRPr="00B55E57" w:rsidRDefault="00170D35" w:rsidP="00170D35">
      <w:pPr>
        <w:pStyle w:val="NoSpacing"/>
        <w:ind w:left="2880" w:hanging="2880"/>
        <w:rPr>
          <w:rFonts w:cstheme="minorHAnsi"/>
          <w:sz w:val="23"/>
          <w:szCs w:val="23"/>
        </w:rPr>
      </w:pPr>
      <w:r w:rsidRPr="00EB262F">
        <w:rPr>
          <w:rFonts w:cstheme="minorHAnsi"/>
          <w:b/>
          <w:sz w:val="23"/>
          <w:szCs w:val="23"/>
        </w:rPr>
        <w:t>Method of Assessment</w:t>
      </w:r>
      <w:r w:rsidRPr="00B55E57">
        <w:rPr>
          <w:rFonts w:cstheme="minorHAnsi"/>
          <w:sz w:val="23"/>
          <w:szCs w:val="23"/>
        </w:rPr>
        <w:t xml:space="preserve">: </w:t>
      </w:r>
      <w:r>
        <w:rPr>
          <w:rFonts w:cstheme="minorHAnsi"/>
          <w:sz w:val="23"/>
          <w:szCs w:val="23"/>
        </w:rPr>
        <w:tab/>
      </w:r>
      <w:r w:rsidRPr="00B55E57">
        <w:rPr>
          <w:rFonts w:cstheme="minorHAnsi"/>
          <w:sz w:val="23"/>
          <w:szCs w:val="23"/>
        </w:rPr>
        <w:t>Program staff will participate in community discussions, such as those conducted by the GED Network and The Literacy Council, to identify communities with limited access to adult basic education and literacy services. Analysis of educational attainment levels, high school dropout rates, and poverty will be conducted for specific communities in the service area. Based on all information examined, the program will expand partnerships with other agencies to provide services as well as establish new classes as needs are identified.</w:t>
      </w:r>
    </w:p>
    <w:p w14:paraId="48AA3A1E" w14:textId="77777777" w:rsidR="00170D35" w:rsidRPr="00B55E57" w:rsidRDefault="00170D35" w:rsidP="00170D35">
      <w:pPr>
        <w:pStyle w:val="NoSpacing"/>
        <w:ind w:left="720"/>
        <w:rPr>
          <w:rFonts w:cstheme="minorHAnsi"/>
          <w:sz w:val="23"/>
          <w:szCs w:val="23"/>
        </w:rPr>
      </w:pPr>
    </w:p>
    <w:p w14:paraId="45846677" w14:textId="77777777" w:rsidR="00170D35" w:rsidRDefault="00170D35" w:rsidP="00170D35">
      <w:pPr>
        <w:pStyle w:val="NoSpacing"/>
        <w:ind w:left="2880" w:hanging="2880"/>
        <w:rPr>
          <w:rFonts w:cstheme="minorHAnsi"/>
          <w:sz w:val="23"/>
          <w:szCs w:val="23"/>
        </w:rPr>
      </w:pPr>
      <w:r w:rsidRPr="00EB262F">
        <w:rPr>
          <w:rFonts w:cstheme="minorHAnsi"/>
          <w:b/>
          <w:sz w:val="23"/>
          <w:szCs w:val="23"/>
        </w:rPr>
        <w:t>Resources Needed</w:t>
      </w:r>
      <w:r>
        <w:rPr>
          <w:rFonts w:cstheme="minorHAnsi"/>
          <w:sz w:val="23"/>
          <w:szCs w:val="23"/>
        </w:rPr>
        <w:t xml:space="preserve">: </w:t>
      </w:r>
      <w:r>
        <w:rPr>
          <w:rFonts w:cstheme="minorHAnsi"/>
          <w:sz w:val="23"/>
          <w:szCs w:val="23"/>
        </w:rPr>
        <w:tab/>
      </w:r>
      <w:r w:rsidRPr="00B55E57">
        <w:rPr>
          <w:rFonts w:cstheme="minorHAnsi"/>
          <w:sz w:val="23"/>
          <w:szCs w:val="23"/>
        </w:rPr>
        <w:t>Federal and state grant funds awarded by the Alabama Department of Postsecondary Education will be utilized. No institutional funds are requested.</w:t>
      </w:r>
    </w:p>
    <w:p w14:paraId="035BCDB5" w14:textId="77777777" w:rsidR="00170D35" w:rsidRDefault="00170D35" w:rsidP="00170D35">
      <w:pPr>
        <w:pStyle w:val="NoSpacing"/>
        <w:ind w:left="2880" w:hanging="2880"/>
        <w:rPr>
          <w:rFonts w:cstheme="minorHAnsi"/>
          <w:sz w:val="23"/>
          <w:szCs w:val="23"/>
        </w:rPr>
      </w:pPr>
    </w:p>
    <w:p w14:paraId="73EF507F" w14:textId="77777777" w:rsidR="00170D35" w:rsidRPr="00170D35" w:rsidRDefault="00170D35" w:rsidP="00170D35">
      <w:pPr>
        <w:pStyle w:val="NoSpacing"/>
        <w:ind w:left="2880" w:hanging="2880"/>
        <w:rPr>
          <w:rFonts w:cstheme="minorHAnsi"/>
          <w:sz w:val="23"/>
          <w:szCs w:val="23"/>
        </w:rPr>
      </w:pPr>
      <w:r>
        <w:rPr>
          <w:rFonts w:cstheme="minorHAnsi"/>
          <w:b/>
          <w:sz w:val="23"/>
          <w:szCs w:val="23"/>
        </w:rPr>
        <w:t>Estimated Cost</w:t>
      </w:r>
      <w:r w:rsidRPr="00EB262F">
        <w:rPr>
          <w:rFonts w:cstheme="minorHAnsi"/>
          <w:sz w:val="23"/>
          <w:szCs w:val="23"/>
        </w:rPr>
        <w:t>:</w:t>
      </w:r>
      <w:r>
        <w:rPr>
          <w:rFonts w:cstheme="minorHAnsi"/>
          <w:sz w:val="23"/>
          <w:szCs w:val="23"/>
        </w:rPr>
        <w:tab/>
        <w:t>None</w:t>
      </w:r>
    </w:p>
    <w:p w14:paraId="3EF01DBC" w14:textId="77777777" w:rsidR="00170D35" w:rsidRDefault="00170D35" w:rsidP="00BB4C08">
      <w:pPr>
        <w:rPr>
          <w:b/>
        </w:rPr>
      </w:pPr>
    </w:p>
    <w:p w14:paraId="1CB18A0B" w14:textId="77777777" w:rsidR="00BB4C08" w:rsidRDefault="00646BAA" w:rsidP="00BB4C08">
      <w:pPr>
        <w:rPr>
          <w:b/>
        </w:rPr>
      </w:pPr>
      <w:r>
        <w:rPr>
          <w:b/>
        </w:rPr>
        <w:t xml:space="preserve">Revised </w:t>
      </w:r>
      <w:r w:rsidR="00BB4C08">
        <w:rPr>
          <w:b/>
        </w:rPr>
        <w:t>Unit Goals for 201</w:t>
      </w:r>
      <w:r w:rsidR="00743DAD">
        <w:rPr>
          <w:b/>
        </w:rPr>
        <w:t>6</w:t>
      </w:r>
      <w:r w:rsidR="00BB4C08">
        <w:rPr>
          <w:b/>
        </w:rPr>
        <w:t>-201</w:t>
      </w:r>
      <w:r w:rsidR="00743DAD">
        <w:rPr>
          <w:b/>
        </w:rPr>
        <w:t>7</w:t>
      </w:r>
    </w:p>
    <w:p w14:paraId="62098C2E" w14:textId="77777777" w:rsidR="00170D35" w:rsidRPr="00B55E57" w:rsidRDefault="00170D35" w:rsidP="00170D35">
      <w:pPr>
        <w:pStyle w:val="NoSpacing"/>
        <w:rPr>
          <w:rFonts w:cstheme="minorHAnsi"/>
          <w:sz w:val="23"/>
          <w:szCs w:val="23"/>
        </w:rPr>
      </w:pPr>
      <w:r w:rsidRPr="00B55E57">
        <w:rPr>
          <w:rFonts w:cstheme="minorHAnsi"/>
          <w:sz w:val="23"/>
          <w:szCs w:val="23"/>
        </w:rPr>
        <w:t>The overall goal of the Adult Education/GED Preparation Program will be to provide quality instructional assistance and other supportive services to adults seeking to improve literacy skills for the purposes of employment, self-sufficiency, and completion of a secondary school education.</w:t>
      </w:r>
    </w:p>
    <w:p w14:paraId="2353A5CB" w14:textId="77777777" w:rsidR="00170D35" w:rsidRPr="00B55E57" w:rsidRDefault="00170D35" w:rsidP="00170D35">
      <w:pPr>
        <w:pStyle w:val="NoSpacing"/>
        <w:rPr>
          <w:rFonts w:cstheme="minorHAnsi"/>
          <w:sz w:val="23"/>
          <w:szCs w:val="23"/>
        </w:rPr>
      </w:pPr>
    </w:p>
    <w:p w14:paraId="5B0C117F" w14:textId="77777777" w:rsidR="00170D35" w:rsidRPr="00B55E57" w:rsidRDefault="00170D35" w:rsidP="00170D35">
      <w:pPr>
        <w:pStyle w:val="NoSpacing"/>
        <w:rPr>
          <w:rFonts w:cstheme="minorHAnsi"/>
          <w:sz w:val="23"/>
          <w:szCs w:val="23"/>
        </w:rPr>
      </w:pPr>
      <w:r>
        <w:rPr>
          <w:rFonts w:cstheme="minorHAnsi"/>
          <w:b/>
          <w:sz w:val="23"/>
          <w:szCs w:val="23"/>
          <w:u w:val="single"/>
        </w:rPr>
        <w:t xml:space="preserve">Goal 1: </w:t>
      </w:r>
      <w:r w:rsidRPr="00B55E57">
        <w:rPr>
          <w:rFonts w:cstheme="minorHAnsi"/>
          <w:sz w:val="23"/>
          <w:szCs w:val="23"/>
        </w:rPr>
        <w:t>The Adult Education/GED Preparation Program will secure federal and state funds through a competitive grant application process.</w:t>
      </w:r>
    </w:p>
    <w:p w14:paraId="79080A2D" w14:textId="77777777" w:rsidR="00170D35" w:rsidRPr="00B55E57" w:rsidRDefault="00170D35" w:rsidP="00170D35">
      <w:pPr>
        <w:pStyle w:val="NoSpacing"/>
        <w:rPr>
          <w:rFonts w:cstheme="minorHAnsi"/>
          <w:sz w:val="23"/>
          <w:szCs w:val="23"/>
        </w:rPr>
      </w:pPr>
    </w:p>
    <w:p w14:paraId="447B66C5" w14:textId="77777777" w:rsidR="00170D35" w:rsidRDefault="00170D35" w:rsidP="00170D35">
      <w:pPr>
        <w:pStyle w:val="NoSpacing"/>
        <w:rPr>
          <w:rFonts w:cstheme="minorHAnsi"/>
          <w:sz w:val="23"/>
          <w:szCs w:val="23"/>
        </w:rPr>
      </w:pPr>
      <w:r>
        <w:rPr>
          <w:rFonts w:cstheme="minorHAnsi"/>
          <w:b/>
          <w:sz w:val="23"/>
          <w:szCs w:val="23"/>
          <w:u w:val="single"/>
        </w:rPr>
        <w:t>Goal 2:</w:t>
      </w:r>
      <w:r>
        <w:rPr>
          <w:rFonts w:cstheme="minorHAnsi"/>
          <w:b/>
          <w:sz w:val="23"/>
          <w:szCs w:val="23"/>
        </w:rPr>
        <w:t xml:space="preserve"> </w:t>
      </w:r>
      <w:r w:rsidRPr="00E13A63">
        <w:rPr>
          <w:rFonts w:cstheme="minorHAnsi"/>
          <w:sz w:val="23"/>
          <w:szCs w:val="23"/>
        </w:rPr>
        <w:t>The Adult</w:t>
      </w:r>
      <w:r>
        <w:rPr>
          <w:rFonts w:cstheme="minorHAnsi"/>
          <w:b/>
          <w:sz w:val="23"/>
          <w:szCs w:val="23"/>
        </w:rPr>
        <w:t xml:space="preserve"> </w:t>
      </w:r>
      <w:r w:rsidRPr="00E13A63">
        <w:rPr>
          <w:rFonts w:cstheme="minorHAnsi"/>
          <w:sz w:val="23"/>
          <w:szCs w:val="23"/>
        </w:rPr>
        <w:t>Education/GED Preparation</w:t>
      </w:r>
      <w:r>
        <w:rPr>
          <w:rFonts w:cstheme="minorHAnsi"/>
          <w:b/>
          <w:sz w:val="23"/>
          <w:szCs w:val="23"/>
        </w:rPr>
        <w:t xml:space="preserve"> </w:t>
      </w:r>
      <w:r w:rsidRPr="00E13A63">
        <w:rPr>
          <w:rFonts w:cstheme="minorHAnsi"/>
          <w:sz w:val="23"/>
          <w:szCs w:val="23"/>
        </w:rPr>
        <w:t xml:space="preserve">Program will promote effective administration of </w:t>
      </w:r>
      <w:r>
        <w:rPr>
          <w:rFonts w:cstheme="minorHAnsi"/>
          <w:sz w:val="23"/>
          <w:szCs w:val="23"/>
        </w:rPr>
        <w:t>services delivered in the three-county service region.</w:t>
      </w:r>
      <w:r w:rsidRPr="00E13A63">
        <w:rPr>
          <w:rFonts w:cstheme="minorHAnsi"/>
          <w:sz w:val="23"/>
          <w:szCs w:val="23"/>
        </w:rPr>
        <w:t xml:space="preserve"> </w:t>
      </w:r>
    </w:p>
    <w:p w14:paraId="4D22684F" w14:textId="77777777" w:rsidR="00170D35" w:rsidRDefault="00170D35" w:rsidP="00170D35">
      <w:pPr>
        <w:pStyle w:val="NoSpacing"/>
        <w:rPr>
          <w:rFonts w:cstheme="minorHAnsi"/>
          <w:sz w:val="23"/>
          <w:szCs w:val="23"/>
        </w:rPr>
      </w:pPr>
    </w:p>
    <w:p w14:paraId="3C08893F" w14:textId="77777777" w:rsidR="00170D35" w:rsidRPr="00B55E57" w:rsidRDefault="00170D35" w:rsidP="00170D35">
      <w:pPr>
        <w:pStyle w:val="NoSpacing"/>
        <w:rPr>
          <w:rFonts w:cstheme="minorHAnsi"/>
          <w:sz w:val="23"/>
          <w:szCs w:val="23"/>
        </w:rPr>
      </w:pPr>
      <w:r>
        <w:rPr>
          <w:rFonts w:cstheme="minorHAnsi"/>
          <w:b/>
          <w:sz w:val="23"/>
          <w:szCs w:val="23"/>
          <w:u w:val="single"/>
        </w:rPr>
        <w:t xml:space="preserve">Goal 3: </w:t>
      </w:r>
      <w:r w:rsidRPr="00B55E57">
        <w:rPr>
          <w:rFonts w:cstheme="minorHAnsi"/>
          <w:sz w:val="23"/>
          <w:szCs w:val="23"/>
        </w:rPr>
        <w:t>The Adult Education/GED Preparation Program will promote access to instructional assistance and supportive services at key locations in the program’s established service region.</w:t>
      </w:r>
    </w:p>
    <w:p w14:paraId="2E861AF7" w14:textId="77777777" w:rsidR="00170D35" w:rsidRPr="00B55E57" w:rsidRDefault="00170D35" w:rsidP="00170D35">
      <w:pPr>
        <w:pStyle w:val="NoSpacing"/>
        <w:rPr>
          <w:rFonts w:cstheme="minorHAnsi"/>
          <w:sz w:val="23"/>
          <w:szCs w:val="23"/>
        </w:rPr>
      </w:pPr>
    </w:p>
    <w:p w14:paraId="69C550D7" w14:textId="77777777" w:rsidR="00170D35" w:rsidRPr="00B55E57" w:rsidRDefault="00170D35" w:rsidP="00170D35">
      <w:pPr>
        <w:pStyle w:val="NoSpacing"/>
        <w:rPr>
          <w:rFonts w:cstheme="minorHAnsi"/>
          <w:sz w:val="23"/>
          <w:szCs w:val="23"/>
        </w:rPr>
      </w:pPr>
      <w:r>
        <w:rPr>
          <w:rFonts w:cstheme="minorHAnsi"/>
          <w:b/>
          <w:sz w:val="23"/>
          <w:szCs w:val="23"/>
          <w:u w:val="single"/>
        </w:rPr>
        <w:t>Goal 4</w:t>
      </w:r>
      <w:r>
        <w:rPr>
          <w:rFonts w:cstheme="minorHAnsi"/>
          <w:sz w:val="23"/>
          <w:szCs w:val="23"/>
        </w:rPr>
        <w:t xml:space="preserve">: </w:t>
      </w:r>
      <w:r w:rsidRPr="00B55E57">
        <w:rPr>
          <w:rFonts w:cstheme="minorHAnsi"/>
          <w:sz w:val="23"/>
          <w:szCs w:val="23"/>
        </w:rPr>
        <w:t>The Adult Education/GED Preparation Program will promote advancement in educational functioning levels for adults enrolled in the program.</w:t>
      </w:r>
    </w:p>
    <w:p w14:paraId="51BB4383" w14:textId="77777777" w:rsidR="00170D35" w:rsidRPr="00B55E57" w:rsidRDefault="00170D35" w:rsidP="00170D35">
      <w:pPr>
        <w:pStyle w:val="NoSpacing"/>
        <w:rPr>
          <w:rFonts w:cstheme="minorHAnsi"/>
          <w:sz w:val="23"/>
          <w:szCs w:val="23"/>
        </w:rPr>
      </w:pPr>
    </w:p>
    <w:p w14:paraId="1819D8A7" w14:textId="77777777" w:rsidR="00170D35" w:rsidRPr="00B55E57" w:rsidRDefault="00170D35" w:rsidP="00170D35">
      <w:pPr>
        <w:pStyle w:val="NoSpacing"/>
        <w:rPr>
          <w:rFonts w:cstheme="minorHAnsi"/>
          <w:sz w:val="23"/>
          <w:szCs w:val="23"/>
        </w:rPr>
      </w:pPr>
      <w:r>
        <w:rPr>
          <w:rFonts w:cstheme="minorHAnsi"/>
          <w:b/>
          <w:sz w:val="23"/>
          <w:szCs w:val="23"/>
          <w:u w:val="single"/>
        </w:rPr>
        <w:t xml:space="preserve">Goal 5: </w:t>
      </w:r>
      <w:r w:rsidRPr="00B55E57">
        <w:rPr>
          <w:rFonts w:cstheme="minorHAnsi"/>
          <w:sz w:val="23"/>
          <w:szCs w:val="23"/>
        </w:rPr>
        <w:t>The Adult Education/GED Preparation Program will respond to community needs to provide literacy services in areas not currently served or underserved.</w:t>
      </w:r>
    </w:p>
    <w:sectPr w:rsidR="00170D35" w:rsidRPr="00B55E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3730B" w14:textId="77777777" w:rsidR="002A1257" w:rsidRDefault="002A1257" w:rsidP="007D08A3">
      <w:pPr>
        <w:spacing w:after="0" w:line="240" w:lineRule="auto"/>
      </w:pPr>
      <w:r>
        <w:separator/>
      </w:r>
    </w:p>
  </w:endnote>
  <w:endnote w:type="continuationSeparator" w:id="0">
    <w:p w14:paraId="4328AFFF" w14:textId="77777777" w:rsidR="002A1257" w:rsidRDefault="002A1257"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C785D" w14:textId="77777777" w:rsidR="00646BAA" w:rsidRDefault="005876BA" w:rsidP="007D08A3">
    <w:pPr>
      <w:pStyle w:val="Footer"/>
      <w:jc w:val="right"/>
    </w:pPr>
    <w:r>
      <w:t>June 2016</w:t>
    </w:r>
  </w:p>
  <w:p w14:paraId="58F265E5"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C4895" w14:textId="77777777" w:rsidR="002A1257" w:rsidRDefault="002A1257" w:rsidP="007D08A3">
      <w:pPr>
        <w:spacing w:after="0" w:line="240" w:lineRule="auto"/>
      </w:pPr>
      <w:r>
        <w:separator/>
      </w:r>
    </w:p>
  </w:footnote>
  <w:footnote w:type="continuationSeparator" w:id="0">
    <w:p w14:paraId="11B83E14" w14:textId="77777777" w:rsidR="002A1257" w:rsidRDefault="002A1257"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A7774"/>
    <w:rsid w:val="00115CAC"/>
    <w:rsid w:val="0016489A"/>
    <w:rsid w:val="00170D35"/>
    <w:rsid w:val="001D13DD"/>
    <w:rsid w:val="0022410F"/>
    <w:rsid w:val="002A0473"/>
    <w:rsid w:val="002A1257"/>
    <w:rsid w:val="00420086"/>
    <w:rsid w:val="00476837"/>
    <w:rsid w:val="00481035"/>
    <w:rsid w:val="004A629F"/>
    <w:rsid w:val="005237E5"/>
    <w:rsid w:val="00553363"/>
    <w:rsid w:val="005876BA"/>
    <w:rsid w:val="00632821"/>
    <w:rsid w:val="00646BAA"/>
    <w:rsid w:val="00743DAD"/>
    <w:rsid w:val="007B3947"/>
    <w:rsid w:val="007D08A3"/>
    <w:rsid w:val="008031B6"/>
    <w:rsid w:val="008B1658"/>
    <w:rsid w:val="009A44EA"/>
    <w:rsid w:val="009F0912"/>
    <w:rsid w:val="00AE6467"/>
    <w:rsid w:val="00BB4C08"/>
    <w:rsid w:val="00C441D4"/>
    <w:rsid w:val="00C664F5"/>
    <w:rsid w:val="00C964B4"/>
    <w:rsid w:val="00CD0102"/>
    <w:rsid w:val="00DF7271"/>
    <w:rsid w:val="00E85F24"/>
    <w:rsid w:val="00F6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5487"/>
  <w15:docId w15:val="{6C5BF96A-940C-4CEF-AB99-2B995030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styleId="NoSpacing">
    <w:name w:val="No Spacing"/>
    <w:uiPriority w:val="1"/>
    <w:qFormat/>
    <w:rsid w:val="00170D35"/>
    <w:pPr>
      <w:spacing w:after="0" w:line="240" w:lineRule="auto"/>
    </w:pPr>
    <w:rPr>
      <w:rFonts w:eastAsiaTheme="minorEastAsia"/>
    </w:rPr>
  </w:style>
  <w:style w:type="table" w:styleId="TableGrid">
    <w:name w:val="Table Grid"/>
    <w:basedOn w:val="TableNormal"/>
    <w:rsid w:val="00170D3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Amanda Kin</cp:lastModifiedBy>
  <cp:revision>2</cp:revision>
  <cp:lastPrinted>2014-04-25T15:04:00Z</cp:lastPrinted>
  <dcterms:created xsi:type="dcterms:W3CDTF">2016-09-28T13:39:00Z</dcterms:created>
  <dcterms:modified xsi:type="dcterms:W3CDTF">2016-09-28T13:39:00Z</dcterms:modified>
</cp:coreProperties>
</file>