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8EC8" w14:textId="77777777" w:rsidR="00A6196D" w:rsidRDefault="00A6196D" w:rsidP="00A6196D">
      <w:pPr>
        <w:rPr>
          <w:b/>
        </w:rPr>
      </w:pPr>
      <w:r>
        <w:rPr>
          <w:b/>
        </w:rPr>
        <w:t xml:space="preserve">Unit Goals (2016-2017): </w:t>
      </w:r>
    </w:p>
    <w:p w14:paraId="41FB4AAD" w14:textId="77777777" w:rsidR="00A6196D" w:rsidRDefault="00A6196D" w:rsidP="00A6196D">
      <w:pPr>
        <w:pStyle w:val="Default"/>
        <w:rPr>
          <w:sz w:val="22"/>
          <w:szCs w:val="22"/>
        </w:rPr>
      </w:pPr>
      <w:r>
        <w:rPr>
          <w:b/>
          <w:bCs/>
          <w:sz w:val="22"/>
          <w:szCs w:val="22"/>
          <w:u w:val="single"/>
        </w:rPr>
        <w:t>Goal 1</w:t>
      </w:r>
      <w:r>
        <w:rPr>
          <w:b/>
          <w:bCs/>
          <w:sz w:val="22"/>
          <w:szCs w:val="22"/>
        </w:rPr>
        <w:t xml:space="preserve">: </w:t>
      </w:r>
      <w:r>
        <w:rPr>
          <w:sz w:val="22"/>
          <w:szCs w:val="22"/>
        </w:rPr>
        <w:t>Banner XE Testing and Implementation.</w:t>
      </w:r>
    </w:p>
    <w:p w14:paraId="606C9547" w14:textId="77777777" w:rsidR="00A6196D" w:rsidRDefault="00A6196D" w:rsidP="00A6196D">
      <w:pPr>
        <w:pStyle w:val="Default"/>
        <w:rPr>
          <w:sz w:val="22"/>
          <w:szCs w:val="22"/>
        </w:rPr>
      </w:pPr>
    </w:p>
    <w:p w14:paraId="40A7BB1B" w14:textId="77777777" w:rsidR="00A6196D" w:rsidRDefault="00A6196D" w:rsidP="00A6196D">
      <w:pPr>
        <w:pStyle w:val="Default"/>
        <w:rPr>
          <w:sz w:val="22"/>
          <w:szCs w:val="22"/>
        </w:rPr>
      </w:pPr>
      <w:r>
        <w:rPr>
          <w:b/>
          <w:sz w:val="22"/>
          <w:szCs w:val="22"/>
        </w:rPr>
        <w:t xml:space="preserve">Outcome: </w:t>
      </w:r>
      <w:r>
        <w:rPr>
          <w:sz w:val="22"/>
          <w:szCs w:val="22"/>
        </w:rPr>
        <w:t>Service Outcome #</w:t>
      </w:r>
      <w:r>
        <w:t xml:space="preserve"> </w:t>
      </w:r>
      <w:r>
        <w:rPr>
          <w:sz w:val="22"/>
          <w:szCs w:val="22"/>
        </w:rPr>
        <w:t>3, Support critical institutional systems and projects, including Oracle and all Banner systems (including Finance, Human Resources, Student and Financial Aid systems).</w:t>
      </w:r>
    </w:p>
    <w:p w14:paraId="7DC1CD60" w14:textId="77777777" w:rsidR="00A6196D" w:rsidRDefault="00A6196D" w:rsidP="00A6196D">
      <w:pPr>
        <w:pStyle w:val="Default"/>
        <w:rPr>
          <w:sz w:val="22"/>
          <w:szCs w:val="22"/>
        </w:rPr>
      </w:pPr>
    </w:p>
    <w:p w14:paraId="0EF0E286" w14:textId="77777777" w:rsidR="00A6196D" w:rsidRDefault="00A6196D" w:rsidP="00A6196D">
      <w:pPr>
        <w:pStyle w:val="Default"/>
        <w:rPr>
          <w:sz w:val="22"/>
          <w:szCs w:val="22"/>
        </w:rPr>
      </w:pPr>
      <w:r>
        <w:rPr>
          <w:b/>
          <w:bCs/>
          <w:sz w:val="22"/>
          <w:szCs w:val="22"/>
        </w:rPr>
        <w:t xml:space="preserve">Objective: </w:t>
      </w:r>
      <w:r>
        <w:rPr>
          <w:sz w:val="22"/>
          <w:szCs w:val="22"/>
        </w:rPr>
        <w:t xml:space="preserve">The newest version of Banner interface should be implemented. INB and SSB depend on technology from a decade ago. Ellucian has a new interface in Banner XE that will require the installation and implementation of a new server and interface. The testing of this should be completed in fall with a production done by spring.  </w:t>
      </w:r>
    </w:p>
    <w:p w14:paraId="4A2EF1E4" w14:textId="77777777" w:rsidR="00A6196D" w:rsidRDefault="00A6196D" w:rsidP="00A6196D">
      <w:pPr>
        <w:pStyle w:val="Default"/>
        <w:rPr>
          <w:sz w:val="22"/>
          <w:szCs w:val="22"/>
        </w:rPr>
      </w:pPr>
      <w:r>
        <w:rPr>
          <w:sz w:val="22"/>
          <w:szCs w:val="22"/>
        </w:rPr>
        <w:t xml:space="preserve"> </w:t>
      </w:r>
    </w:p>
    <w:p w14:paraId="06028F0C"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If a testable server is up and running by Fall 2016 and a production server is in use by Spring of 2017 then this goal will be completed. </w:t>
      </w:r>
    </w:p>
    <w:p w14:paraId="2B368352" w14:textId="77777777" w:rsidR="00A6196D" w:rsidRDefault="00A6196D" w:rsidP="00A6196D">
      <w:pPr>
        <w:pStyle w:val="Default"/>
        <w:rPr>
          <w:sz w:val="22"/>
          <w:szCs w:val="22"/>
        </w:rPr>
      </w:pPr>
    </w:p>
    <w:p w14:paraId="6558B0F6" w14:textId="77777777" w:rsidR="00A6196D" w:rsidRDefault="00A6196D" w:rsidP="00A6196D">
      <w:pPr>
        <w:rPr>
          <w:bCs/>
        </w:rPr>
      </w:pPr>
      <w:r>
        <w:rPr>
          <w:b/>
          <w:bCs/>
        </w:rPr>
        <w:t xml:space="preserve">Estimated Cost: </w:t>
      </w:r>
      <w:r>
        <w:rPr>
          <w:bCs/>
        </w:rPr>
        <w:t>None.</w:t>
      </w:r>
    </w:p>
    <w:p w14:paraId="1689B4D9" w14:textId="77777777" w:rsidR="00A6196D" w:rsidRDefault="00A6196D" w:rsidP="00A6196D">
      <w:pPr>
        <w:pStyle w:val="Default"/>
        <w:rPr>
          <w:color w:val="000000" w:themeColor="text1"/>
          <w:sz w:val="22"/>
          <w:szCs w:val="22"/>
        </w:rPr>
      </w:pPr>
      <w:r>
        <w:rPr>
          <w:b/>
          <w:bCs/>
          <w:sz w:val="22"/>
          <w:szCs w:val="22"/>
          <w:u w:val="single"/>
        </w:rPr>
        <w:t>Goal 2</w:t>
      </w:r>
      <w:r>
        <w:rPr>
          <w:rFonts w:eastAsia="Times New Roman"/>
          <w:b/>
          <w:bCs/>
          <w:color w:val="00B050"/>
          <w:sz w:val="22"/>
          <w:szCs w:val="22"/>
        </w:rPr>
        <w:t>:</w:t>
      </w:r>
      <w:r>
        <w:rPr>
          <w:bCs/>
        </w:rPr>
        <w:t xml:space="preserve"> </w:t>
      </w:r>
      <w:r>
        <w:rPr>
          <w:rFonts w:eastAsia="Times New Roman"/>
          <w:bCs/>
          <w:color w:val="000000" w:themeColor="text1"/>
          <w:sz w:val="22"/>
          <w:szCs w:val="22"/>
        </w:rPr>
        <w:t xml:space="preserve">Hire </w:t>
      </w:r>
      <w:r>
        <w:rPr>
          <w:rFonts w:eastAsia="Times New Roman"/>
          <w:color w:val="000000" w:themeColor="text1"/>
          <w:sz w:val="22"/>
          <w:szCs w:val="22"/>
        </w:rPr>
        <w:t>an additional Technical Support Specialist.</w:t>
      </w:r>
    </w:p>
    <w:p w14:paraId="3BEB9664"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p>
    <w:p w14:paraId="57F53E96"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r>
        <w:rPr>
          <w:rFonts w:ascii="Calibri" w:eastAsia="Times New Roman" w:hAnsi="Calibri" w:cs="Calibri"/>
          <w:b/>
          <w:color w:val="000000" w:themeColor="text1"/>
        </w:rPr>
        <w:t xml:space="preserve">Outcome: </w:t>
      </w:r>
      <w:r>
        <w:rPr>
          <w:rFonts w:ascii="Calibri" w:eastAsia="Times New Roman" w:hAnsi="Calibri" w:cs="Calibri"/>
          <w:color w:val="000000" w:themeColor="text1"/>
        </w:rPr>
        <w:t>Service Unit Outcome #1, IT will streamline practices to create efficiencies and economize resources to meet the growing technological needs and demands of the College. This will improve delivery of system administration and information access.</w:t>
      </w:r>
    </w:p>
    <w:p w14:paraId="766EEC89"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p>
    <w:p w14:paraId="18754121"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r>
        <w:rPr>
          <w:rFonts w:ascii="Calibri" w:eastAsia="Times New Roman" w:hAnsi="Calibri" w:cs="Calibri"/>
          <w:b/>
          <w:bCs/>
          <w:color w:val="000000" w:themeColor="text1"/>
        </w:rPr>
        <w:t xml:space="preserve">Objective: </w:t>
      </w:r>
      <w:r>
        <w:rPr>
          <w:rFonts w:ascii="Calibri" w:eastAsia="Times New Roman" w:hAnsi="Calibri" w:cs="Calibri"/>
          <w:color w:val="000000" w:themeColor="text1"/>
        </w:rPr>
        <w:t xml:space="preserve">The IT department will hire an additional technical support specialist to provide support for IT functions of the college. The increase in the geographical footprint along with increased number and variety of IT connected devices has caused a deficit in the supported ratio of devices to support staff. Best practices provide for 300 PCs per technician. </w:t>
      </w:r>
      <w:r>
        <w:rPr>
          <w:rFonts w:ascii="Calibri" w:eastAsia="Times New Roman" w:hAnsi="Calibri" w:cs="Calibri"/>
          <w:b/>
          <w:color w:val="000000" w:themeColor="text1"/>
        </w:rPr>
        <w:t>In addition, wireless nodes, printers, projectors, copiers, scanners, scantron devices and other network enabled devices have multiplied</w:t>
      </w:r>
      <w:r>
        <w:rPr>
          <w:rFonts w:ascii="Calibri" w:eastAsia="Times New Roman" w:hAnsi="Calibri" w:cs="Calibri"/>
          <w:color w:val="000000" w:themeColor="text1"/>
        </w:rPr>
        <w:t xml:space="preserve">.  </w:t>
      </w:r>
    </w:p>
    <w:p w14:paraId="65503E1E"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p>
    <w:p w14:paraId="526BE867"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p>
    <w:p w14:paraId="10BF99A7"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p>
    <w:p w14:paraId="2176542B" w14:textId="77777777" w:rsidR="00A6196D" w:rsidRDefault="00A6196D" w:rsidP="00A6196D">
      <w:pPr>
        <w:ind w:left="1620" w:firstLine="720"/>
        <w:rPr>
          <w:rFonts w:eastAsia="Times New Roman" w:cs="Times New Roman"/>
          <w:b/>
          <w:color w:val="000000" w:themeColor="text1"/>
        </w:rPr>
      </w:pPr>
    </w:p>
    <w:p w14:paraId="5387A773" w14:textId="77777777" w:rsidR="00A6196D" w:rsidRDefault="00A6196D" w:rsidP="00A6196D">
      <w:pPr>
        <w:ind w:left="1620" w:firstLine="720"/>
        <w:rPr>
          <w:rFonts w:eastAsia="Times New Roman" w:cs="Times New Roman"/>
          <w:b/>
          <w:color w:val="000000" w:themeColor="text1"/>
        </w:rPr>
      </w:pPr>
      <w:r>
        <w:rPr>
          <w:rFonts w:eastAsia="Times New Roman" w:cs="Times New Roman"/>
          <w:b/>
          <w:color w:val="000000" w:themeColor="text1"/>
        </w:rPr>
        <w:t>PC’s by Location</w:t>
      </w:r>
    </w:p>
    <w:tbl>
      <w:tblPr>
        <w:tblStyle w:val="TableGrid1"/>
        <w:tblW w:w="0" w:type="auto"/>
        <w:tblInd w:w="2448" w:type="dxa"/>
        <w:tblLook w:val="04A0" w:firstRow="1" w:lastRow="0" w:firstColumn="1" w:lastColumn="0" w:noHBand="0" w:noVBand="1"/>
      </w:tblPr>
      <w:tblGrid>
        <w:gridCol w:w="977"/>
        <w:gridCol w:w="2040"/>
        <w:gridCol w:w="2040"/>
      </w:tblGrid>
      <w:tr w:rsidR="00A6196D" w14:paraId="5CEBE8FD" w14:textId="77777777" w:rsidTr="00A6196D">
        <w:tc>
          <w:tcPr>
            <w:tcW w:w="977" w:type="dxa"/>
            <w:tcBorders>
              <w:top w:val="single" w:sz="4" w:space="0" w:color="auto"/>
              <w:left w:val="single" w:sz="4" w:space="0" w:color="auto"/>
              <w:bottom w:val="single" w:sz="4" w:space="0" w:color="auto"/>
              <w:right w:val="single" w:sz="4" w:space="0" w:color="auto"/>
            </w:tcBorders>
          </w:tcPr>
          <w:p w14:paraId="162FB89A" w14:textId="77777777" w:rsidR="00A6196D" w:rsidRDefault="00A6196D">
            <w:pPr>
              <w:rPr>
                <w:rFonts w:eastAsiaTheme="minorEastAsia" w:cs="Calibri"/>
                <w:b/>
                <w:color w:val="000000" w:themeColor="text1"/>
                <w:sz w:val="20"/>
                <w:szCs w:val="20"/>
                <w:lang w:eastAsia="ja-JP"/>
              </w:rPr>
            </w:pPr>
          </w:p>
        </w:tc>
        <w:tc>
          <w:tcPr>
            <w:tcW w:w="2040" w:type="dxa"/>
            <w:tcBorders>
              <w:top w:val="single" w:sz="4" w:space="0" w:color="auto"/>
              <w:left w:val="single" w:sz="4" w:space="0" w:color="auto"/>
              <w:bottom w:val="single" w:sz="4" w:space="0" w:color="auto"/>
              <w:right w:val="single" w:sz="4" w:space="0" w:color="auto"/>
            </w:tcBorders>
            <w:hideMark/>
          </w:tcPr>
          <w:p w14:paraId="3FC9ACE9" w14:textId="77777777" w:rsidR="00A6196D" w:rsidRDefault="00A6196D">
            <w:pPr>
              <w:jc w:val="center"/>
              <w:rPr>
                <w:rFonts w:eastAsiaTheme="minorEastAsia" w:cs="Calibri"/>
                <w:b/>
                <w:color w:val="000000" w:themeColor="text1"/>
                <w:sz w:val="20"/>
                <w:szCs w:val="20"/>
                <w:lang w:eastAsia="ja-JP"/>
              </w:rPr>
            </w:pPr>
            <w:r>
              <w:rPr>
                <w:rFonts w:eastAsiaTheme="minorEastAsia" w:cs="Calibri"/>
                <w:b/>
                <w:color w:val="000000" w:themeColor="text1"/>
                <w:sz w:val="20"/>
                <w:szCs w:val="20"/>
                <w:lang w:eastAsia="ja-JP"/>
              </w:rPr>
              <w:t>PC’s 2014-2015</w:t>
            </w:r>
          </w:p>
        </w:tc>
        <w:tc>
          <w:tcPr>
            <w:tcW w:w="2040" w:type="dxa"/>
            <w:tcBorders>
              <w:top w:val="single" w:sz="4" w:space="0" w:color="auto"/>
              <w:left w:val="single" w:sz="4" w:space="0" w:color="auto"/>
              <w:bottom w:val="single" w:sz="4" w:space="0" w:color="auto"/>
              <w:right w:val="single" w:sz="4" w:space="0" w:color="auto"/>
            </w:tcBorders>
            <w:hideMark/>
          </w:tcPr>
          <w:p w14:paraId="36FB2CA1" w14:textId="77777777" w:rsidR="00A6196D" w:rsidRDefault="00A6196D">
            <w:pPr>
              <w:jc w:val="center"/>
              <w:rPr>
                <w:rFonts w:eastAsiaTheme="minorEastAsia" w:cs="Calibri"/>
                <w:b/>
                <w:color w:val="000000" w:themeColor="text1"/>
                <w:sz w:val="20"/>
                <w:szCs w:val="20"/>
                <w:lang w:eastAsia="ja-JP"/>
              </w:rPr>
            </w:pPr>
            <w:r>
              <w:rPr>
                <w:rFonts w:eastAsiaTheme="minorEastAsia" w:cs="Calibri"/>
                <w:b/>
                <w:color w:val="000000" w:themeColor="text1"/>
                <w:sz w:val="20"/>
                <w:szCs w:val="20"/>
                <w:lang w:eastAsia="ja-JP"/>
              </w:rPr>
              <w:t>PC’s 2015-2016</w:t>
            </w:r>
          </w:p>
        </w:tc>
      </w:tr>
      <w:tr w:rsidR="00A6196D" w14:paraId="25BE7599" w14:textId="77777777" w:rsidTr="00A6196D">
        <w:tc>
          <w:tcPr>
            <w:tcW w:w="977" w:type="dxa"/>
            <w:tcBorders>
              <w:top w:val="single" w:sz="4" w:space="0" w:color="auto"/>
              <w:left w:val="single" w:sz="4" w:space="0" w:color="auto"/>
              <w:bottom w:val="single" w:sz="4" w:space="0" w:color="auto"/>
              <w:right w:val="single" w:sz="4" w:space="0" w:color="auto"/>
            </w:tcBorders>
            <w:hideMark/>
          </w:tcPr>
          <w:p w14:paraId="61561D35" w14:textId="77777777" w:rsidR="00A6196D" w:rsidRDefault="00A6196D">
            <w:pPr>
              <w:rPr>
                <w:rFonts w:eastAsiaTheme="minorEastAsia" w:cs="Calibri"/>
                <w:b/>
                <w:color w:val="000000" w:themeColor="text1"/>
                <w:sz w:val="20"/>
                <w:szCs w:val="20"/>
                <w:lang w:eastAsia="ja-JP"/>
              </w:rPr>
            </w:pPr>
            <w:r>
              <w:rPr>
                <w:rFonts w:eastAsiaTheme="minorEastAsia" w:cs="Calibri"/>
                <w:b/>
                <w:color w:val="000000" w:themeColor="text1"/>
                <w:sz w:val="20"/>
                <w:szCs w:val="20"/>
                <w:lang w:eastAsia="ja-JP"/>
              </w:rPr>
              <w:t>Jefferson</w:t>
            </w:r>
          </w:p>
        </w:tc>
        <w:tc>
          <w:tcPr>
            <w:tcW w:w="2040" w:type="dxa"/>
            <w:tcBorders>
              <w:top w:val="single" w:sz="4" w:space="0" w:color="auto"/>
              <w:left w:val="single" w:sz="4" w:space="0" w:color="auto"/>
              <w:bottom w:val="single" w:sz="4" w:space="0" w:color="auto"/>
              <w:right w:val="single" w:sz="4" w:space="0" w:color="auto"/>
            </w:tcBorders>
            <w:hideMark/>
          </w:tcPr>
          <w:p w14:paraId="3FAB584A"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848</w:t>
            </w:r>
          </w:p>
        </w:tc>
        <w:tc>
          <w:tcPr>
            <w:tcW w:w="2040" w:type="dxa"/>
            <w:tcBorders>
              <w:top w:val="single" w:sz="4" w:space="0" w:color="auto"/>
              <w:left w:val="single" w:sz="4" w:space="0" w:color="auto"/>
              <w:bottom w:val="single" w:sz="4" w:space="0" w:color="auto"/>
              <w:right w:val="single" w:sz="4" w:space="0" w:color="auto"/>
            </w:tcBorders>
            <w:hideMark/>
          </w:tcPr>
          <w:p w14:paraId="2B66E726"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870</w:t>
            </w:r>
          </w:p>
        </w:tc>
      </w:tr>
      <w:tr w:rsidR="00A6196D" w14:paraId="54E3C73D" w14:textId="77777777" w:rsidTr="00A6196D">
        <w:tc>
          <w:tcPr>
            <w:tcW w:w="977" w:type="dxa"/>
            <w:tcBorders>
              <w:top w:val="single" w:sz="4" w:space="0" w:color="auto"/>
              <w:left w:val="single" w:sz="4" w:space="0" w:color="auto"/>
              <w:bottom w:val="single" w:sz="4" w:space="0" w:color="auto"/>
              <w:right w:val="single" w:sz="4" w:space="0" w:color="auto"/>
            </w:tcBorders>
            <w:hideMark/>
          </w:tcPr>
          <w:p w14:paraId="16B22B6D" w14:textId="77777777" w:rsidR="00A6196D" w:rsidRDefault="00A6196D">
            <w:pPr>
              <w:rPr>
                <w:rFonts w:eastAsiaTheme="minorEastAsia" w:cs="Calibri"/>
                <w:b/>
                <w:color w:val="000000" w:themeColor="text1"/>
                <w:sz w:val="20"/>
                <w:szCs w:val="20"/>
                <w:lang w:eastAsia="ja-JP"/>
              </w:rPr>
            </w:pPr>
            <w:r>
              <w:rPr>
                <w:rFonts w:eastAsiaTheme="minorEastAsia" w:cs="Calibri"/>
                <w:b/>
                <w:color w:val="000000" w:themeColor="text1"/>
                <w:sz w:val="20"/>
                <w:szCs w:val="20"/>
                <w:lang w:eastAsia="ja-JP"/>
              </w:rPr>
              <w:t>Shelby</w:t>
            </w:r>
          </w:p>
        </w:tc>
        <w:tc>
          <w:tcPr>
            <w:tcW w:w="2040" w:type="dxa"/>
            <w:tcBorders>
              <w:top w:val="single" w:sz="4" w:space="0" w:color="auto"/>
              <w:left w:val="single" w:sz="4" w:space="0" w:color="auto"/>
              <w:bottom w:val="single" w:sz="4" w:space="0" w:color="auto"/>
              <w:right w:val="single" w:sz="4" w:space="0" w:color="auto"/>
            </w:tcBorders>
            <w:hideMark/>
          </w:tcPr>
          <w:p w14:paraId="4C38BAF4"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616</w:t>
            </w:r>
          </w:p>
        </w:tc>
        <w:tc>
          <w:tcPr>
            <w:tcW w:w="2040" w:type="dxa"/>
            <w:tcBorders>
              <w:top w:val="single" w:sz="4" w:space="0" w:color="auto"/>
              <w:left w:val="single" w:sz="4" w:space="0" w:color="auto"/>
              <w:bottom w:val="single" w:sz="4" w:space="0" w:color="auto"/>
              <w:right w:val="single" w:sz="4" w:space="0" w:color="auto"/>
            </w:tcBorders>
            <w:hideMark/>
          </w:tcPr>
          <w:p w14:paraId="376911FC"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630</w:t>
            </w:r>
          </w:p>
        </w:tc>
      </w:tr>
      <w:tr w:rsidR="00A6196D" w14:paraId="44370907" w14:textId="77777777" w:rsidTr="00A6196D">
        <w:tc>
          <w:tcPr>
            <w:tcW w:w="977" w:type="dxa"/>
            <w:tcBorders>
              <w:top w:val="single" w:sz="4" w:space="0" w:color="auto"/>
              <w:left w:val="single" w:sz="4" w:space="0" w:color="auto"/>
              <w:bottom w:val="single" w:sz="4" w:space="0" w:color="auto"/>
              <w:right w:val="single" w:sz="4" w:space="0" w:color="auto"/>
            </w:tcBorders>
            <w:hideMark/>
          </w:tcPr>
          <w:p w14:paraId="415F4F12" w14:textId="77777777" w:rsidR="00A6196D" w:rsidRDefault="00A6196D">
            <w:pPr>
              <w:rPr>
                <w:rFonts w:eastAsiaTheme="minorEastAsia" w:cs="Calibri"/>
                <w:b/>
                <w:color w:val="000000" w:themeColor="text1"/>
                <w:sz w:val="20"/>
                <w:szCs w:val="20"/>
                <w:lang w:eastAsia="ja-JP"/>
              </w:rPr>
            </w:pPr>
            <w:r>
              <w:rPr>
                <w:rFonts w:eastAsiaTheme="minorEastAsia" w:cs="Calibri"/>
                <w:b/>
                <w:color w:val="000000" w:themeColor="text1"/>
                <w:sz w:val="20"/>
                <w:szCs w:val="20"/>
                <w:lang w:eastAsia="ja-JP"/>
              </w:rPr>
              <w:t>St Clair</w:t>
            </w:r>
          </w:p>
        </w:tc>
        <w:tc>
          <w:tcPr>
            <w:tcW w:w="2040" w:type="dxa"/>
            <w:tcBorders>
              <w:top w:val="single" w:sz="4" w:space="0" w:color="auto"/>
              <w:left w:val="single" w:sz="4" w:space="0" w:color="auto"/>
              <w:bottom w:val="single" w:sz="4" w:space="0" w:color="auto"/>
              <w:right w:val="single" w:sz="4" w:space="0" w:color="auto"/>
            </w:tcBorders>
            <w:hideMark/>
          </w:tcPr>
          <w:p w14:paraId="00692C33"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153</w:t>
            </w:r>
          </w:p>
        </w:tc>
        <w:tc>
          <w:tcPr>
            <w:tcW w:w="2040" w:type="dxa"/>
            <w:tcBorders>
              <w:top w:val="single" w:sz="4" w:space="0" w:color="auto"/>
              <w:left w:val="single" w:sz="4" w:space="0" w:color="auto"/>
              <w:bottom w:val="single" w:sz="4" w:space="0" w:color="auto"/>
              <w:right w:val="single" w:sz="4" w:space="0" w:color="auto"/>
            </w:tcBorders>
            <w:hideMark/>
          </w:tcPr>
          <w:p w14:paraId="5DD15F04"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155</w:t>
            </w:r>
          </w:p>
        </w:tc>
      </w:tr>
      <w:tr w:rsidR="00A6196D" w14:paraId="577A081B" w14:textId="77777777" w:rsidTr="00A6196D">
        <w:tc>
          <w:tcPr>
            <w:tcW w:w="977" w:type="dxa"/>
            <w:tcBorders>
              <w:top w:val="single" w:sz="4" w:space="0" w:color="auto"/>
              <w:left w:val="single" w:sz="4" w:space="0" w:color="auto"/>
              <w:bottom w:val="single" w:sz="4" w:space="0" w:color="auto"/>
              <w:right w:val="single" w:sz="4" w:space="0" w:color="auto"/>
            </w:tcBorders>
            <w:hideMark/>
          </w:tcPr>
          <w:p w14:paraId="0E621AFA" w14:textId="77777777" w:rsidR="00A6196D" w:rsidRDefault="00A6196D">
            <w:pPr>
              <w:rPr>
                <w:rFonts w:eastAsiaTheme="minorEastAsia" w:cs="Calibri"/>
                <w:b/>
                <w:color w:val="000000" w:themeColor="text1"/>
                <w:sz w:val="20"/>
                <w:szCs w:val="20"/>
                <w:lang w:eastAsia="ja-JP"/>
              </w:rPr>
            </w:pPr>
            <w:r>
              <w:rPr>
                <w:rFonts w:eastAsiaTheme="minorEastAsia" w:cs="Calibri"/>
                <w:b/>
                <w:color w:val="000000" w:themeColor="text1"/>
                <w:sz w:val="20"/>
                <w:szCs w:val="20"/>
                <w:lang w:eastAsia="ja-JP"/>
              </w:rPr>
              <w:t>Clanton</w:t>
            </w:r>
          </w:p>
        </w:tc>
        <w:tc>
          <w:tcPr>
            <w:tcW w:w="2040" w:type="dxa"/>
            <w:tcBorders>
              <w:top w:val="single" w:sz="4" w:space="0" w:color="auto"/>
              <w:left w:val="single" w:sz="4" w:space="0" w:color="auto"/>
              <w:bottom w:val="single" w:sz="4" w:space="0" w:color="auto"/>
              <w:right w:val="single" w:sz="4" w:space="0" w:color="auto"/>
            </w:tcBorders>
            <w:hideMark/>
          </w:tcPr>
          <w:p w14:paraId="64B19C98"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115</w:t>
            </w:r>
          </w:p>
        </w:tc>
        <w:tc>
          <w:tcPr>
            <w:tcW w:w="2040" w:type="dxa"/>
            <w:tcBorders>
              <w:top w:val="single" w:sz="4" w:space="0" w:color="auto"/>
              <w:left w:val="single" w:sz="4" w:space="0" w:color="auto"/>
              <w:bottom w:val="single" w:sz="4" w:space="0" w:color="auto"/>
              <w:right w:val="single" w:sz="4" w:space="0" w:color="auto"/>
            </w:tcBorders>
            <w:hideMark/>
          </w:tcPr>
          <w:p w14:paraId="0CD160C4"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117</w:t>
            </w:r>
          </w:p>
        </w:tc>
      </w:tr>
      <w:tr w:rsidR="00A6196D" w14:paraId="7FFAEC27" w14:textId="77777777" w:rsidTr="00A6196D">
        <w:tc>
          <w:tcPr>
            <w:tcW w:w="977" w:type="dxa"/>
            <w:tcBorders>
              <w:top w:val="single" w:sz="4" w:space="0" w:color="auto"/>
              <w:left w:val="single" w:sz="4" w:space="0" w:color="auto"/>
              <w:bottom w:val="single" w:sz="4" w:space="0" w:color="auto"/>
              <w:right w:val="single" w:sz="4" w:space="0" w:color="auto"/>
            </w:tcBorders>
            <w:hideMark/>
          </w:tcPr>
          <w:p w14:paraId="7F95E9E4" w14:textId="77777777" w:rsidR="00A6196D" w:rsidRDefault="00A6196D">
            <w:pPr>
              <w:rPr>
                <w:rFonts w:eastAsiaTheme="minorEastAsia" w:cs="Calibri"/>
                <w:b/>
                <w:color w:val="000000" w:themeColor="text1"/>
                <w:sz w:val="20"/>
                <w:szCs w:val="20"/>
                <w:lang w:eastAsia="ja-JP"/>
              </w:rPr>
            </w:pPr>
            <w:r>
              <w:rPr>
                <w:rFonts w:eastAsiaTheme="minorEastAsia" w:cs="Calibri"/>
                <w:b/>
                <w:color w:val="000000" w:themeColor="text1"/>
                <w:sz w:val="20"/>
                <w:szCs w:val="20"/>
                <w:lang w:eastAsia="ja-JP"/>
              </w:rPr>
              <w:t>Total</w:t>
            </w:r>
          </w:p>
        </w:tc>
        <w:tc>
          <w:tcPr>
            <w:tcW w:w="2040" w:type="dxa"/>
            <w:tcBorders>
              <w:top w:val="single" w:sz="4" w:space="0" w:color="auto"/>
              <w:left w:val="single" w:sz="4" w:space="0" w:color="auto"/>
              <w:bottom w:val="single" w:sz="4" w:space="0" w:color="auto"/>
              <w:right w:val="single" w:sz="4" w:space="0" w:color="auto"/>
            </w:tcBorders>
            <w:hideMark/>
          </w:tcPr>
          <w:p w14:paraId="353ADA39"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1732</w:t>
            </w:r>
          </w:p>
        </w:tc>
        <w:tc>
          <w:tcPr>
            <w:tcW w:w="2040" w:type="dxa"/>
            <w:tcBorders>
              <w:top w:val="single" w:sz="4" w:space="0" w:color="auto"/>
              <w:left w:val="single" w:sz="4" w:space="0" w:color="auto"/>
              <w:bottom w:val="single" w:sz="4" w:space="0" w:color="auto"/>
              <w:right w:val="single" w:sz="4" w:space="0" w:color="auto"/>
            </w:tcBorders>
            <w:hideMark/>
          </w:tcPr>
          <w:p w14:paraId="2DD28311" w14:textId="77777777" w:rsidR="00A6196D" w:rsidRDefault="00A6196D">
            <w:pPr>
              <w:jc w:val="center"/>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1772</w:t>
            </w:r>
          </w:p>
        </w:tc>
      </w:tr>
    </w:tbl>
    <w:p w14:paraId="58429139" w14:textId="77777777" w:rsidR="00A6196D" w:rsidRDefault="00A6196D" w:rsidP="00A6196D">
      <w:pPr>
        <w:spacing w:after="0" w:line="240" w:lineRule="auto"/>
        <w:rPr>
          <w:rFonts w:eastAsiaTheme="minorEastAsia" w:cs="Calibri"/>
          <w:color w:val="000000" w:themeColor="text1"/>
          <w:sz w:val="20"/>
          <w:szCs w:val="20"/>
          <w:lang w:eastAsia="ja-JP"/>
        </w:rPr>
      </w:pPr>
      <w:r>
        <w:rPr>
          <w:rFonts w:eastAsiaTheme="minorEastAsia" w:cs="Calibri"/>
          <w:color w:val="000000" w:themeColor="text1"/>
          <w:sz w:val="20"/>
          <w:szCs w:val="20"/>
          <w:lang w:eastAsia="ja-JP"/>
        </w:rPr>
        <w:tab/>
      </w:r>
      <w:r>
        <w:rPr>
          <w:rFonts w:eastAsiaTheme="minorEastAsia" w:cs="Calibri"/>
          <w:color w:val="000000" w:themeColor="text1"/>
          <w:sz w:val="20"/>
          <w:szCs w:val="20"/>
          <w:lang w:eastAsia="ja-JP"/>
        </w:rPr>
        <w:tab/>
      </w:r>
      <w:r>
        <w:rPr>
          <w:rFonts w:eastAsiaTheme="minorEastAsia" w:cs="Calibri"/>
          <w:color w:val="000000" w:themeColor="text1"/>
          <w:sz w:val="20"/>
          <w:szCs w:val="20"/>
          <w:lang w:eastAsia="ja-JP"/>
        </w:rPr>
        <w:tab/>
        <w:t xml:space="preserve"> 1772 PC’s/300 PC’s per FTE = 5.91 FTE.  Current FTE = 2 Deficit FTE = 3.91 FTE</w:t>
      </w:r>
    </w:p>
    <w:p w14:paraId="0CCA17B2"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p>
    <w:p w14:paraId="3FFBAEED" w14:textId="77777777" w:rsidR="00A6196D" w:rsidRDefault="00A6196D" w:rsidP="00A6196D">
      <w:pPr>
        <w:autoSpaceDE w:val="0"/>
        <w:autoSpaceDN w:val="0"/>
        <w:adjustRightInd w:val="0"/>
        <w:spacing w:after="0" w:line="240" w:lineRule="auto"/>
        <w:rPr>
          <w:rFonts w:ascii="Calibri" w:eastAsia="Times New Roman" w:hAnsi="Calibri" w:cs="Calibri"/>
          <w:color w:val="000000" w:themeColor="text1"/>
        </w:rPr>
      </w:pPr>
    </w:p>
    <w:p w14:paraId="35729AD5" w14:textId="77777777" w:rsidR="00A6196D" w:rsidRDefault="00A6196D" w:rsidP="00A6196D">
      <w:pPr>
        <w:autoSpaceDE w:val="0"/>
        <w:autoSpaceDN w:val="0"/>
        <w:adjustRightInd w:val="0"/>
        <w:spacing w:after="0" w:line="240" w:lineRule="auto"/>
        <w:rPr>
          <w:rFonts w:ascii="Calibri" w:eastAsia="Times New Roman" w:hAnsi="Calibri" w:cs="Calibri"/>
          <w:bCs/>
          <w:color w:val="000000" w:themeColor="text1"/>
        </w:rPr>
      </w:pPr>
      <w:r>
        <w:rPr>
          <w:rFonts w:ascii="Calibri" w:eastAsia="Times New Roman" w:hAnsi="Calibri" w:cs="Calibri"/>
          <w:b/>
          <w:bCs/>
          <w:color w:val="000000" w:themeColor="text1"/>
        </w:rPr>
        <w:t xml:space="preserve">Method of Assessment:  </w:t>
      </w:r>
      <w:r>
        <w:rPr>
          <w:rFonts w:ascii="Calibri" w:eastAsia="Times New Roman" w:hAnsi="Calibri" w:cs="Calibri"/>
          <w:bCs/>
          <w:color w:val="000000" w:themeColor="text1"/>
        </w:rPr>
        <w:t>The College will have hired one employee complying with all employment procedures and regulations. The new position will report to and be evaluated by the Associate Director of Information Technology.</w:t>
      </w:r>
    </w:p>
    <w:p w14:paraId="08AAA3F7" w14:textId="77777777" w:rsidR="00A6196D" w:rsidRDefault="00A6196D" w:rsidP="00A6196D">
      <w:pPr>
        <w:autoSpaceDE w:val="0"/>
        <w:autoSpaceDN w:val="0"/>
        <w:adjustRightInd w:val="0"/>
        <w:spacing w:after="0" w:line="240" w:lineRule="auto"/>
        <w:rPr>
          <w:rFonts w:ascii="Calibri" w:eastAsia="Times New Roman" w:hAnsi="Calibri" w:cs="Calibri"/>
          <w:bCs/>
          <w:color w:val="000000" w:themeColor="text1"/>
        </w:rPr>
      </w:pPr>
    </w:p>
    <w:p w14:paraId="1560F241" w14:textId="77777777" w:rsidR="00A6196D" w:rsidRDefault="00A6196D" w:rsidP="00A6196D">
      <w:pPr>
        <w:rPr>
          <w:rFonts w:eastAsia="Times New Roman" w:cs="Times New Roman"/>
          <w:color w:val="000000" w:themeColor="text1"/>
        </w:rPr>
      </w:pPr>
      <w:r>
        <w:rPr>
          <w:rFonts w:eastAsia="Times New Roman" w:cs="Times New Roman"/>
          <w:b/>
          <w:bCs/>
          <w:color w:val="000000" w:themeColor="text1"/>
        </w:rPr>
        <w:t xml:space="preserve">Estimated Cost: </w:t>
      </w:r>
      <w:r>
        <w:rPr>
          <w:rFonts w:eastAsia="Times New Roman" w:cs="Times New Roman"/>
          <w:color w:val="000000" w:themeColor="text1"/>
        </w:rPr>
        <w:t>$50 to $55K for one C3 salary schedule FTE.</w:t>
      </w:r>
    </w:p>
    <w:p w14:paraId="433A71F1" w14:textId="77777777" w:rsidR="00A6196D" w:rsidRDefault="00A6196D" w:rsidP="00A6196D">
      <w:pPr>
        <w:pStyle w:val="Default"/>
        <w:rPr>
          <w:sz w:val="22"/>
          <w:szCs w:val="22"/>
        </w:rPr>
      </w:pPr>
      <w:r>
        <w:rPr>
          <w:b/>
          <w:bCs/>
          <w:sz w:val="22"/>
          <w:szCs w:val="22"/>
          <w:u w:val="single"/>
        </w:rPr>
        <w:t>Goal 3:</w:t>
      </w:r>
      <w:r>
        <w:rPr>
          <w:b/>
          <w:bCs/>
          <w:sz w:val="22"/>
          <w:szCs w:val="22"/>
        </w:rPr>
        <w:t xml:space="preserve"> </w:t>
      </w:r>
      <w:r>
        <w:rPr>
          <w:sz w:val="22"/>
          <w:szCs w:val="22"/>
        </w:rPr>
        <w:t>Storage Array to expand SAN.</w:t>
      </w:r>
    </w:p>
    <w:p w14:paraId="34320B95" w14:textId="77777777" w:rsidR="00A6196D" w:rsidRDefault="00A6196D" w:rsidP="00A6196D">
      <w:pPr>
        <w:pStyle w:val="Default"/>
        <w:rPr>
          <w:sz w:val="22"/>
          <w:szCs w:val="22"/>
        </w:rPr>
      </w:pPr>
    </w:p>
    <w:p w14:paraId="7EF33595" w14:textId="77777777" w:rsidR="00A6196D" w:rsidRDefault="00A6196D" w:rsidP="00A6196D">
      <w:pPr>
        <w:pStyle w:val="Default"/>
        <w:rPr>
          <w:sz w:val="22"/>
          <w:szCs w:val="22"/>
        </w:rPr>
      </w:pPr>
      <w:r>
        <w:rPr>
          <w:b/>
          <w:sz w:val="22"/>
          <w:szCs w:val="22"/>
        </w:rPr>
        <w:t xml:space="preserve">Outcome: </w:t>
      </w:r>
      <w:r>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535B88E4" w14:textId="77777777" w:rsidR="00A6196D" w:rsidRDefault="00A6196D" w:rsidP="00A6196D">
      <w:pPr>
        <w:pStyle w:val="Default"/>
        <w:rPr>
          <w:sz w:val="22"/>
          <w:szCs w:val="22"/>
        </w:rPr>
      </w:pPr>
    </w:p>
    <w:p w14:paraId="799F8517" w14:textId="77777777" w:rsidR="00A6196D" w:rsidRDefault="00A6196D" w:rsidP="00A6196D">
      <w:pPr>
        <w:pStyle w:val="Default"/>
        <w:rPr>
          <w:sz w:val="22"/>
          <w:szCs w:val="22"/>
        </w:rPr>
      </w:pPr>
      <w:r>
        <w:rPr>
          <w:b/>
          <w:bCs/>
          <w:sz w:val="22"/>
          <w:szCs w:val="22"/>
        </w:rPr>
        <w:t xml:space="preserve">Objective: </w:t>
      </w:r>
      <w:r>
        <w:rPr>
          <w:sz w:val="22"/>
          <w:szCs w:val="22"/>
        </w:rPr>
        <w:t xml:space="preserve">The storage array for the server SAN is over 50% capacity. It has served us well for five years but an expansion as well as an evaluation of solid state technologies needs to be done. The purchase of a new array with a lifecycle implementation should be done in the 16-17 timeframe. </w:t>
      </w:r>
    </w:p>
    <w:p w14:paraId="77C1C3A1" w14:textId="77777777" w:rsidR="00A6196D" w:rsidRDefault="00A6196D" w:rsidP="00A6196D">
      <w:pPr>
        <w:pStyle w:val="Default"/>
        <w:rPr>
          <w:sz w:val="22"/>
          <w:szCs w:val="22"/>
        </w:rPr>
      </w:pPr>
      <w:r>
        <w:rPr>
          <w:sz w:val="22"/>
          <w:szCs w:val="22"/>
        </w:rPr>
        <w:t xml:space="preserve"> </w:t>
      </w:r>
    </w:p>
    <w:p w14:paraId="5F7AF67D"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If a 50% increase in storage capacity of the SAN is done then this goal will be complete. </w:t>
      </w:r>
    </w:p>
    <w:p w14:paraId="0B4F151F" w14:textId="77777777" w:rsidR="00A6196D" w:rsidRDefault="00A6196D" w:rsidP="00A6196D">
      <w:pPr>
        <w:pStyle w:val="Default"/>
        <w:rPr>
          <w:sz w:val="22"/>
          <w:szCs w:val="22"/>
        </w:rPr>
      </w:pPr>
    </w:p>
    <w:p w14:paraId="73E9F577" w14:textId="77777777" w:rsidR="00A6196D" w:rsidRDefault="00A6196D" w:rsidP="00A6196D">
      <w:pPr>
        <w:spacing w:line="240" w:lineRule="auto"/>
        <w:rPr>
          <w:bCs/>
        </w:rPr>
      </w:pPr>
      <w:r>
        <w:rPr>
          <w:b/>
          <w:bCs/>
        </w:rPr>
        <w:t xml:space="preserve">Estimated Cost: </w:t>
      </w:r>
      <w:r>
        <w:rPr>
          <w:bCs/>
        </w:rPr>
        <w:t>$80,000.</w:t>
      </w:r>
    </w:p>
    <w:p w14:paraId="717AC0B3" w14:textId="77777777" w:rsidR="00A6196D" w:rsidRDefault="00A6196D" w:rsidP="00A6196D">
      <w:pPr>
        <w:pStyle w:val="Default"/>
        <w:rPr>
          <w:sz w:val="22"/>
          <w:szCs w:val="22"/>
        </w:rPr>
      </w:pPr>
      <w:r>
        <w:rPr>
          <w:b/>
          <w:bCs/>
          <w:sz w:val="22"/>
          <w:szCs w:val="22"/>
          <w:u w:val="single"/>
        </w:rPr>
        <w:t>Goal 4</w:t>
      </w:r>
      <w:r>
        <w:rPr>
          <w:b/>
          <w:bCs/>
          <w:sz w:val="22"/>
          <w:szCs w:val="22"/>
        </w:rPr>
        <w:t xml:space="preserve">: </w:t>
      </w:r>
      <w:r>
        <w:rPr>
          <w:sz w:val="22"/>
          <w:szCs w:val="22"/>
        </w:rPr>
        <w:t>Xtender Implementation.</w:t>
      </w:r>
    </w:p>
    <w:p w14:paraId="0D3F9794" w14:textId="77777777" w:rsidR="00A6196D" w:rsidRDefault="00A6196D" w:rsidP="00A6196D">
      <w:pPr>
        <w:pStyle w:val="Default"/>
        <w:rPr>
          <w:sz w:val="22"/>
          <w:szCs w:val="22"/>
        </w:rPr>
      </w:pPr>
    </w:p>
    <w:p w14:paraId="5BA6C8AE" w14:textId="77777777" w:rsidR="00A6196D" w:rsidRDefault="00A6196D" w:rsidP="00A6196D">
      <w:pPr>
        <w:pStyle w:val="Default"/>
        <w:rPr>
          <w:sz w:val="22"/>
          <w:szCs w:val="22"/>
        </w:rPr>
      </w:pPr>
      <w:r>
        <w:rPr>
          <w:b/>
          <w:sz w:val="22"/>
          <w:szCs w:val="22"/>
        </w:rPr>
        <w:t xml:space="preserve">Outcome: </w:t>
      </w:r>
      <w:r>
        <w:rPr>
          <w:sz w:val="22"/>
          <w:szCs w:val="22"/>
        </w:rPr>
        <w:t>Service Unit Outcome #4, Evaluate and implement new innovative information systems that enhance technology for Jefferson State students, faculty and staff.</w:t>
      </w:r>
    </w:p>
    <w:p w14:paraId="286D92BB" w14:textId="77777777" w:rsidR="00A6196D" w:rsidRDefault="00A6196D" w:rsidP="00A6196D">
      <w:pPr>
        <w:pStyle w:val="Default"/>
        <w:rPr>
          <w:sz w:val="22"/>
          <w:szCs w:val="22"/>
        </w:rPr>
      </w:pPr>
    </w:p>
    <w:p w14:paraId="0EA2C968" w14:textId="77777777" w:rsidR="00A6196D" w:rsidRDefault="00A6196D" w:rsidP="00A6196D">
      <w:pPr>
        <w:pStyle w:val="Default"/>
        <w:rPr>
          <w:sz w:val="22"/>
          <w:szCs w:val="22"/>
        </w:rPr>
      </w:pPr>
      <w:r>
        <w:rPr>
          <w:b/>
          <w:bCs/>
          <w:sz w:val="22"/>
          <w:szCs w:val="22"/>
        </w:rPr>
        <w:t xml:space="preserve">Objective: </w:t>
      </w:r>
      <w:r>
        <w:rPr>
          <w:sz w:val="22"/>
          <w:szCs w:val="22"/>
        </w:rPr>
        <w:t xml:space="preserve">The areas of Finance and HR could benefit from the document management solution we already have installed and implemented in the Student and Financial Aid areas. Not only would workload be improved but the documents would be backed up and less prone to data loss. </w:t>
      </w:r>
    </w:p>
    <w:p w14:paraId="16155A79" w14:textId="77777777" w:rsidR="00A6196D" w:rsidRDefault="00A6196D" w:rsidP="00A6196D">
      <w:pPr>
        <w:pStyle w:val="Default"/>
        <w:rPr>
          <w:sz w:val="22"/>
          <w:szCs w:val="22"/>
        </w:rPr>
      </w:pPr>
    </w:p>
    <w:p w14:paraId="4C3C9691"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If HR and Finance has a process filing of all document types into Xtender then this goal has been completed. </w:t>
      </w:r>
    </w:p>
    <w:p w14:paraId="4B6924DF" w14:textId="77777777" w:rsidR="00A6196D" w:rsidRDefault="00A6196D" w:rsidP="00A6196D">
      <w:pPr>
        <w:pStyle w:val="Default"/>
        <w:rPr>
          <w:sz w:val="22"/>
          <w:szCs w:val="22"/>
        </w:rPr>
      </w:pPr>
    </w:p>
    <w:p w14:paraId="1BB863F1" w14:textId="77777777" w:rsidR="00A6196D" w:rsidRDefault="00A6196D" w:rsidP="00A6196D">
      <w:r>
        <w:rPr>
          <w:b/>
          <w:bCs/>
        </w:rPr>
        <w:t xml:space="preserve">Estimated Cost: </w:t>
      </w:r>
      <w:r>
        <w:t>NA.</w:t>
      </w:r>
    </w:p>
    <w:p w14:paraId="0BDEE1BB" w14:textId="77777777" w:rsidR="00A6196D" w:rsidRDefault="00A6196D" w:rsidP="00A6196D">
      <w:pPr>
        <w:pStyle w:val="Default"/>
        <w:rPr>
          <w:sz w:val="22"/>
          <w:szCs w:val="22"/>
        </w:rPr>
      </w:pPr>
      <w:r>
        <w:rPr>
          <w:b/>
          <w:bCs/>
          <w:sz w:val="22"/>
          <w:szCs w:val="22"/>
          <w:u w:val="single"/>
        </w:rPr>
        <w:t>Goal 5</w:t>
      </w:r>
      <w:r>
        <w:rPr>
          <w:b/>
          <w:bCs/>
          <w:sz w:val="22"/>
          <w:szCs w:val="22"/>
        </w:rPr>
        <w:t xml:space="preserve">: </w:t>
      </w:r>
      <w:r>
        <w:rPr>
          <w:bCs/>
          <w:sz w:val="22"/>
          <w:szCs w:val="22"/>
        </w:rPr>
        <w:t xml:space="preserve">4 </w:t>
      </w:r>
      <w:r>
        <w:rPr>
          <w:sz w:val="22"/>
          <w:szCs w:val="22"/>
        </w:rPr>
        <w:t>Computers for Staff.</w:t>
      </w:r>
    </w:p>
    <w:p w14:paraId="008679DC" w14:textId="77777777" w:rsidR="00A6196D" w:rsidRDefault="00A6196D" w:rsidP="00A6196D">
      <w:pPr>
        <w:pStyle w:val="Default"/>
        <w:rPr>
          <w:sz w:val="22"/>
          <w:szCs w:val="22"/>
        </w:rPr>
      </w:pPr>
      <w:r>
        <w:rPr>
          <w:b/>
          <w:sz w:val="22"/>
          <w:szCs w:val="22"/>
        </w:rPr>
        <w:t xml:space="preserve">Outcome: </w:t>
      </w:r>
      <w:r>
        <w:rPr>
          <w:sz w:val="22"/>
          <w:szCs w:val="22"/>
        </w:rPr>
        <w:t>Service Unit Outcome #1, IT will streamline practices to create efficiencies and economize resources to meet the growing technological needs and demands of the College. This will improve delivery of system administration and information access.</w:t>
      </w:r>
    </w:p>
    <w:p w14:paraId="41FDA5DE" w14:textId="77777777" w:rsidR="00A6196D" w:rsidRDefault="00A6196D" w:rsidP="00A6196D">
      <w:pPr>
        <w:pStyle w:val="Default"/>
        <w:rPr>
          <w:sz w:val="22"/>
          <w:szCs w:val="22"/>
        </w:rPr>
      </w:pPr>
    </w:p>
    <w:p w14:paraId="3AD1114A" w14:textId="77777777" w:rsidR="00A6196D" w:rsidRDefault="00A6196D" w:rsidP="00A6196D">
      <w:pPr>
        <w:pStyle w:val="Default"/>
        <w:rPr>
          <w:sz w:val="22"/>
          <w:szCs w:val="22"/>
        </w:rPr>
      </w:pPr>
      <w:r>
        <w:rPr>
          <w:b/>
          <w:bCs/>
          <w:sz w:val="22"/>
          <w:szCs w:val="22"/>
        </w:rPr>
        <w:t xml:space="preserve">Objective: </w:t>
      </w:r>
      <w:r>
        <w:rPr>
          <w:sz w:val="22"/>
          <w:szCs w:val="22"/>
        </w:rPr>
        <w:t>Three of the computers for the IT staff need to be replaced. Both ERP system analysts, the Associate Director and the CIO all need new computers.</w:t>
      </w:r>
    </w:p>
    <w:p w14:paraId="01910872" w14:textId="77777777" w:rsidR="00A6196D" w:rsidRDefault="00A6196D" w:rsidP="00A6196D">
      <w:pPr>
        <w:pStyle w:val="Default"/>
        <w:rPr>
          <w:sz w:val="22"/>
          <w:szCs w:val="22"/>
        </w:rPr>
      </w:pPr>
    </w:p>
    <w:p w14:paraId="33FDB89C"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The College will have purchased four computers. </w:t>
      </w:r>
    </w:p>
    <w:p w14:paraId="279FFF2F" w14:textId="77777777" w:rsidR="00A6196D" w:rsidRDefault="00A6196D" w:rsidP="00A6196D">
      <w:pPr>
        <w:pStyle w:val="Default"/>
        <w:rPr>
          <w:sz w:val="22"/>
          <w:szCs w:val="22"/>
        </w:rPr>
      </w:pPr>
    </w:p>
    <w:p w14:paraId="400D6A21" w14:textId="77777777" w:rsidR="00A6196D" w:rsidRDefault="00A6196D" w:rsidP="00A6196D">
      <w:r>
        <w:rPr>
          <w:b/>
          <w:bCs/>
        </w:rPr>
        <w:t xml:space="preserve">Estimated Cost: </w:t>
      </w:r>
      <w:r>
        <w:t>$8,000.</w:t>
      </w:r>
    </w:p>
    <w:p w14:paraId="5DAD5116" w14:textId="77777777" w:rsidR="00A6196D" w:rsidRDefault="00A6196D" w:rsidP="00A6196D">
      <w:pPr>
        <w:pStyle w:val="Default"/>
        <w:rPr>
          <w:sz w:val="22"/>
          <w:szCs w:val="22"/>
        </w:rPr>
      </w:pPr>
      <w:r>
        <w:rPr>
          <w:b/>
          <w:bCs/>
          <w:sz w:val="22"/>
          <w:szCs w:val="22"/>
          <w:u w:val="single"/>
        </w:rPr>
        <w:t>Goal 6</w:t>
      </w:r>
      <w:r>
        <w:rPr>
          <w:b/>
          <w:bCs/>
          <w:sz w:val="22"/>
          <w:szCs w:val="22"/>
        </w:rPr>
        <w:t xml:space="preserve">: </w:t>
      </w:r>
      <w:r>
        <w:rPr>
          <w:sz w:val="22"/>
          <w:szCs w:val="22"/>
        </w:rPr>
        <w:t>Upgrade and update Network.</w:t>
      </w:r>
    </w:p>
    <w:p w14:paraId="5D0C9A19" w14:textId="77777777" w:rsidR="00A6196D" w:rsidRDefault="00A6196D" w:rsidP="00A6196D">
      <w:pPr>
        <w:pStyle w:val="Default"/>
        <w:rPr>
          <w:b/>
          <w:sz w:val="22"/>
          <w:szCs w:val="22"/>
        </w:rPr>
      </w:pPr>
    </w:p>
    <w:p w14:paraId="47809A82" w14:textId="77777777" w:rsidR="00A6196D" w:rsidRDefault="00A6196D" w:rsidP="00A6196D">
      <w:pPr>
        <w:pStyle w:val="Default"/>
        <w:rPr>
          <w:sz w:val="22"/>
          <w:szCs w:val="22"/>
        </w:rPr>
      </w:pPr>
      <w:r>
        <w:rPr>
          <w:b/>
          <w:sz w:val="22"/>
          <w:szCs w:val="22"/>
        </w:rPr>
        <w:t xml:space="preserve">Outcome: </w:t>
      </w:r>
      <w:r>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2BB43682" w14:textId="77777777" w:rsidR="00A6196D" w:rsidRDefault="00A6196D" w:rsidP="00A6196D">
      <w:pPr>
        <w:pStyle w:val="Default"/>
        <w:rPr>
          <w:sz w:val="22"/>
          <w:szCs w:val="22"/>
        </w:rPr>
      </w:pPr>
    </w:p>
    <w:p w14:paraId="3B9BE56E" w14:textId="77777777" w:rsidR="00A6196D" w:rsidRDefault="00A6196D" w:rsidP="00A6196D">
      <w:pPr>
        <w:pStyle w:val="Default"/>
        <w:rPr>
          <w:sz w:val="22"/>
          <w:szCs w:val="22"/>
        </w:rPr>
      </w:pPr>
      <w:r>
        <w:rPr>
          <w:b/>
          <w:bCs/>
          <w:sz w:val="22"/>
          <w:szCs w:val="22"/>
        </w:rPr>
        <w:t xml:space="preserve">Objective: </w:t>
      </w:r>
      <w:r>
        <w:rPr>
          <w:sz w:val="22"/>
          <w:szCs w:val="22"/>
        </w:rPr>
        <w:t xml:space="preserve">The current network infrastructure has fallen behind. Many of the network switches are over ten years old. 20 will need to be purchased immediately to start catching up. This is approximately double the estimated lowest lifecycle policy. </w:t>
      </w:r>
    </w:p>
    <w:p w14:paraId="66BD7C62" w14:textId="77777777" w:rsidR="00A6196D" w:rsidRDefault="00A6196D" w:rsidP="00A6196D">
      <w:pPr>
        <w:pStyle w:val="Default"/>
        <w:rPr>
          <w:sz w:val="22"/>
          <w:szCs w:val="22"/>
        </w:rPr>
      </w:pPr>
    </w:p>
    <w:p w14:paraId="0E59AA20"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If purchase of 20 switches, 2 core routers, 2 datacenter </w:t>
      </w:r>
    </w:p>
    <w:p w14:paraId="20E03E08" w14:textId="77777777" w:rsidR="00A6196D" w:rsidRDefault="00A6196D" w:rsidP="00A6196D">
      <w:pPr>
        <w:pStyle w:val="Default"/>
        <w:rPr>
          <w:sz w:val="22"/>
          <w:szCs w:val="22"/>
        </w:rPr>
      </w:pPr>
    </w:p>
    <w:p w14:paraId="55B8796B" w14:textId="77777777" w:rsidR="00A6196D" w:rsidRDefault="00A6196D" w:rsidP="00A6196D">
      <w:pPr>
        <w:spacing w:line="240" w:lineRule="auto"/>
        <w:rPr>
          <w:bCs/>
          <w:color w:val="FF0000"/>
        </w:rPr>
      </w:pPr>
      <w:r>
        <w:rPr>
          <w:b/>
          <w:bCs/>
        </w:rPr>
        <w:t xml:space="preserve">Estimated Cost: </w:t>
      </w:r>
      <w:r>
        <w:rPr>
          <w:bCs/>
          <w:color w:val="FF0000"/>
        </w:rPr>
        <w:t xml:space="preserve"> </w:t>
      </w:r>
      <w:r>
        <w:rPr>
          <w:bCs/>
        </w:rPr>
        <w:t>$100,000 switches.</w:t>
      </w:r>
    </w:p>
    <w:p w14:paraId="2116E6C6" w14:textId="77777777" w:rsidR="00A6196D" w:rsidRDefault="00A6196D" w:rsidP="00A6196D">
      <w:pPr>
        <w:pStyle w:val="Default"/>
        <w:rPr>
          <w:sz w:val="22"/>
          <w:szCs w:val="22"/>
        </w:rPr>
      </w:pPr>
      <w:r>
        <w:rPr>
          <w:b/>
          <w:bCs/>
          <w:sz w:val="22"/>
          <w:szCs w:val="22"/>
          <w:u w:val="single"/>
        </w:rPr>
        <w:t>Goal 7</w:t>
      </w:r>
      <w:r>
        <w:rPr>
          <w:b/>
          <w:bCs/>
          <w:sz w:val="22"/>
          <w:szCs w:val="22"/>
        </w:rPr>
        <w:t xml:space="preserve">: </w:t>
      </w:r>
      <w:r>
        <w:rPr>
          <w:sz w:val="22"/>
          <w:szCs w:val="22"/>
        </w:rPr>
        <w:t>Maintain supplies for network infrastructure.</w:t>
      </w:r>
    </w:p>
    <w:p w14:paraId="069FF8CC" w14:textId="77777777" w:rsidR="00A6196D" w:rsidRDefault="00A6196D" w:rsidP="00A6196D">
      <w:pPr>
        <w:pStyle w:val="Default"/>
        <w:rPr>
          <w:sz w:val="22"/>
          <w:szCs w:val="22"/>
        </w:rPr>
      </w:pPr>
    </w:p>
    <w:p w14:paraId="42186CCC" w14:textId="77777777" w:rsidR="00A6196D" w:rsidRDefault="00A6196D" w:rsidP="00A6196D">
      <w:pPr>
        <w:pStyle w:val="Default"/>
        <w:rPr>
          <w:sz w:val="22"/>
          <w:szCs w:val="22"/>
        </w:rPr>
      </w:pPr>
      <w:r>
        <w:rPr>
          <w:b/>
          <w:sz w:val="22"/>
          <w:szCs w:val="22"/>
        </w:rPr>
        <w:t xml:space="preserve">Outcome: </w:t>
      </w:r>
      <w:r>
        <w:rPr>
          <w:sz w:val="22"/>
          <w:szCs w:val="22"/>
        </w:rPr>
        <w:t>Service Unit Outcome #1, IT will streamline practices to create efficiencies and economize resources to meet the growing technological needs and demands of the College. This will improve delivery of system administration and information access.</w:t>
      </w:r>
    </w:p>
    <w:p w14:paraId="3E129AE9" w14:textId="77777777" w:rsidR="00A6196D" w:rsidRDefault="00A6196D" w:rsidP="00A6196D">
      <w:pPr>
        <w:pStyle w:val="Default"/>
        <w:rPr>
          <w:sz w:val="22"/>
          <w:szCs w:val="22"/>
        </w:rPr>
      </w:pPr>
    </w:p>
    <w:p w14:paraId="6ACDBD73" w14:textId="77777777" w:rsidR="00A6196D" w:rsidRDefault="00A6196D" w:rsidP="00A6196D">
      <w:pPr>
        <w:pStyle w:val="Default"/>
        <w:rPr>
          <w:bCs/>
          <w:sz w:val="22"/>
          <w:szCs w:val="22"/>
        </w:rPr>
      </w:pPr>
      <w:r>
        <w:rPr>
          <w:b/>
          <w:bCs/>
          <w:sz w:val="22"/>
          <w:szCs w:val="22"/>
        </w:rPr>
        <w:t xml:space="preserve">Objective: </w:t>
      </w:r>
      <w:r>
        <w:rPr>
          <w:bCs/>
          <w:sz w:val="22"/>
          <w:szCs w:val="22"/>
        </w:rPr>
        <w:t xml:space="preserve">The IT office will </w:t>
      </w:r>
      <w:r>
        <w:rPr>
          <w:sz w:val="22"/>
          <w:szCs w:val="22"/>
        </w:rPr>
        <w:t>maintain supplies for 50 Ethernet drops and 5 Projector drops</w:t>
      </w:r>
      <w:r>
        <w:rPr>
          <w:b/>
          <w:bCs/>
          <w:sz w:val="22"/>
          <w:szCs w:val="22"/>
        </w:rPr>
        <w:t xml:space="preserve">. </w:t>
      </w:r>
      <w:r>
        <w:rPr>
          <w:bCs/>
          <w:sz w:val="22"/>
          <w:szCs w:val="22"/>
        </w:rPr>
        <w:t>The purchasing of supplies has become problematic to getting equipment installed on time.</w:t>
      </w:r>
    </w:p>
    <w:p w14:paraId="71E9D8B0" w14:textId="77777777" w:rsidR="00A6196D" w:rsidRDefault="00A6196D" w:rsidP="00A6196D">
      <w:pPr>
        <w:pStyle w:val="Default"/>
        <w:rPr>
          <w:bCs/>
          <w:sz w:val="22"/>
          <w:szCs w:val="22"/>
        </w:rPr>
      </w:pPr>
      <w:r>
        <w:rPr>
          <w:bCs/>
          <w:sz w:val="22"/>
          <w:szCs w:val="22"/>
        </w:rPr>
        <w:t xml:space="preserve"> </w:t>
      </w:r>
    </w:p>
    <w:p w14:paraId="332AD824" w14:textId="77777777" w:rsidR="00A6196D" w:rsidRDefault="00A6196D" w:rsidP="00A6196D">
      <w:pPr>
        <w:pStyle w:val="Default"/>
        <w:rPr>
          <w:sz w:val="22"/>
          <w:szCs w:val="22"/>
        </w:rPr>
      </w:pPr>
      <w:r>
        <w:rPr>
          <w:b/>
          <w:bCs/>
          <w:sz w:val="22"/>
          <w:szCs w:val="22"/>
        </w:rPr>
        <w:t xml:space="preserve">Method of Assessment: </w:t>
      </w:r>
      <w:r>
        <w:rPr>
          <w:sz w:val="22"/>
          <w:szCs w:val="22"/>
        </w:rPr>
        <w:t>If the inventory and purchase of network supplies are completed then this goal has been accomplished.</w:t>
      </w:r>
    </w:p>
    <w:p w14:paraId="0DB2AED4" w14:textId="77777777" w:rsidR="00A6196D" w:rsidRDefault="00A6196D" w:rsidP="00A6196D">
      <w:pPr>
        <w:pStyle w:val="Default"/>
        <w:rPr>
          <w:sz w:val="22"/>
          <w:szCs w:val="22"/>
        </w:rPr>
      </w:pPr>
    </w:p>
    <w:p w14:paraId="1AE9B503" w14:textId="77777777" w:rsidR="00A6196D" w:rsidRDefault="00A6196D" w:rsidP="00A6196D">
      <w:r>
        <w:rPr>
          <w:b/>
          <w:bCs/>
        </w:rPr>
        <w:t xml:space="preserve">Estimated Cost: </w:t>
      </w:r>
      <w:r>
        <w:t>$5,000.</w:t>
      </w:r>
    </w:p>
    <w:p w14:paraId="12D1FE32" w14:textId="77777777" w:rsidR="00A6196D" w:rsidRDefault="00A6196D" w:rsidP="00A6196D">
      <w:pPr>
        <w:pStyle w:val="Default"/>
        <w:rPr>
          <w:sz w:val="22"/>
          <w:szCs w:val="22"/>
        </w:rPr>
      </w:pPr>
      <w:r>
        <w:rPr>
          <w:b/>
          <w:bCs/>
          <w:sz w:val="22"/>
          <w:szCs w:val="22"/>
          <w:u w:val="single"/>
        </w:rPr>
        <w:t>Goal 8</w:t>
      </w:r>
      <w:r>
        <w:rPr>
          <w:b/>
          <w:bCs/>
          <w:sz w:val="22"/>
          <w:szCs w:val="22"/>
        </w:rPr>
        <w:t xml:space="preserve">: </w:t>
      </w:r>
      <w:r>
        <w:rPr>
          <w:sz w:val="22"/>
          <w:szCs w:val="22"/>
        </w:rPr>
        <w:t>Upgrade and update IP Phones.</w:t>
      </w:r>
    </w:p>
    <w:p w14:paraId="1D11904B" w14:textId="77777777" w:rsidR="00A6196D" w:rsidRDefault="00A6196D" w:rsidP="00A6196D">
      <w:pPr>
        <w:pStyle w:val="Default"/>
        <w:rPr>
          <w:sz w:val="22"/>
          <w:szCs w:val="22"/>
        </w:rPr>
      </w:pPr>
    </w:p>
    <w:p w14:paraId="45D955B4" w14:textId="77777777" w:rsidR="00A6196D" w:rsidRDefault="00A6196D" w:rsidP="00A6196D">
      <w:pPr>
        <w:pStyle w:val="Default"/>
        <w:rPr>
          <w:sz w:val="22"/>
          <w:szCs w:val="22"/>
        </w:rPr>
      </w:pPr>
      <w:r>
        <w:rPr>
          <w:b/>
          <w:sz w:val="22"/>
          <w:szCs w:val="22"/>
        </w:rPr>
        <w:t xml:space="preserve">Outcome: </w:t>
      </w:r>
      <w:r>
        <w:rPr>
          <w:sz w:val="22"/>
          <w:szCs w:val="22"/>
        </w:rPr>
        <w:t>Service Unit Outcome #</w:t>
      </w:r>
      <w:r>
        <w:t xml:space="preserve">6, </w:t>
      </w:r>
      <w:r>
        <w:rPr>
          <w:sz w:val="22"/>
          <w:szCs w:val="22"/>
        </w:rPr>
        <w:t>IT will provide and maintain a reliable telephone system.</w:t>
      </w:r>
    </w:p>
    <w:p w14:paraId="3DB9A6AB" w14:textId="77777777" w:rsidR="00A6196D" w:rsidRDefault="00A6196D" w:rsidP="00A6196D">
      <w:pPr>
        <w:pStyle w:val="Default"/>
        <w:rPr>
          <w:sz w:val="22"/>
          <w:szCs w:val="22"/>
        </w:rPr>
      </w:pPr>
    </w:p>
    <w:p w14:paraId="163BC484" w14:textId="77777777" w:rsidR="00A6196D" w:rsidRDefault="00A6196D" w:rsidP="00A6196D">
      <w:pPr>
        <w:pStyle w:val="Default"/>
        <w:rPr>
          <w:sz w:val="22"/>
          <w:szCs w:val="22"/>
        </w:rPr>
      </w:pPr>
      <w:r>
        <w:rPr>
          <w:b/>
          <w:bCs/>
          <w:sz w:val="22"/>
          <w:szCs w:val="22"/>
        </w:rPr>
        <w:t xml:space="preserve">Objective: </w:t>
      </w:r>
      <w:r>
        <w:rPr>
          <w:sz w:val="22"/>
          <w:szCs w:val="22"/>
        </w:rPr>
        <w:t>The current phone inventory needs to be updated. IP phones are far easier to manage and have a larger feature set than analog sets. Almost half of the current phones are IP but approximately 300 analog remain. To this end approximately 100 IP phones &amp; licenses updating around 1/3 of the remaining telco infrastructure. There are dependencies on the plan to change out the phone system.</w:t>
      </w:r>
    </w:p>
    <w:p w14:paraId="0DEEBFFE" w14:textId="77777777" w:rsidR="00A6196D" w:rsidRDefault="00A6196D" w:rsidP="00A6196D">
      <w:pPr>
        <w:pStyle w:val="Default"/>
        <w:rPr>
          <w:sz w:val="22"/>
          <w:szCs w:val="22"/>
        </w:rPr>
      </w:pPr>
    </w:p>
    <w:p w14:paraId="1B48240E"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If the phones are purchased or a new phone system is committed to then this goal will be completed. </w:t>
      </w:r>
    </w:p>
    <w:p w14:paraId="399BEA14" w14:textId="77777777" w:rsidR="00A6196D" w:rsidRDefault="00A6196D" w:rsidP="00A6196D">
      <w:pPr>
        <w:pStyle w:val="Default"/>
        <w:rPr>
          <w:sz w:val="22"/>
          <w:szCs w:val="22"/>
        </w:rPr>
      </w:pPr>
    </w:p>
    <w:p w14:paraId="2D6FD590" w14:textId="77777777" w:rsidR="00A6196D" w:rsidRDefault="00A6196D" w:rsidP="00A6196D">
      <w:pPr>
        <w:rPr>
          <w:bCs/>
        </w:rPr>
      </w:pPr>
      <w:r>
        <w:rPr>
          <w:b/>
          <w:bCs/>
        </w:rPr>
        <w:t xml:space="preserve">Estimated Cost: </w:t>
      </w:r>
      <w:r>
        <w:rPr>
          <w:bCs/>
        </w:rPr>
        <w:t xml:space="preserve">$20,000. </w:t>
      </w:r>
    </w:p>
    <w:p w14:paraId="3660B60D" w14:textId="77777777" w:rsidR="00A6196D" w:rsidRDefault="00A6196D" w:rsidP="00A6196D">
      <w:pPr>
        <w:pStyle w:val="Default"/>
        <w:rPr>
          <w:sz w:val="22"/>
          <w:szCs w:val="22"/>
        </w:rPr>
      </w:pPr>
      <w:r>
        <w:rPr>
          <w:b/>
          <w:bCs/>
          <w:sz w:val="22"/>
          <w:szCs w:val="22"/>
          <w:u w:val="single"/>
        </w:rPr>
        <w:t>Goal 9</w:t>
      </w:r>
      <w:r>
        <w:rPr>
          <w:b/>
          <w:bCs/>
          <w:sz w:val="22"/>
          <w:szCs w:val="22"/>
        </w:rPr>
        <w:t xml:space="preserve">: </w:t>
      </w:r>
      <w:r>
        <w:rPr>
          <w:sz w:val="22"/>
          <w:szCs w:val="22"/>
        </w:rPr>
        <w:t>Replace voicemail system.</w:t>
      </w:r>
    </w:p>
    <w:p w14:paraId="3734E82A" w14:textId="77777777" w:rsidR="00A6196D" w:rsidRDefault="00A6196D" w:rsidP="00A6196D">
      <w:pPr>
        <w:pStyle w:val="Default"/>
        <w:rPr>
          <w:sz w:val="22"/>
          <w:szCs w:val="22"/>
        </w:rPr>
      </w:pPr>
    </w:p>
    <w:p w14:paraId="03BB6C20" w14:textId="77777777" w:rsidR="00A6196D" w:rsidRDefault="00A6196D" w:rsidP="00A6196D">
      <w:pPr>
        <w:pStyle w:val="Default"/>
        <w:rPr>
          <w:sz w:val="22"/>
          <w:szCs w:val="22"/>
        </w:rPr>
      </w:pPr>
      <w:r>
        <w:rPr>
          <w:b/>
          <w:sz w:val="22"/>
          <w:szCs w:val="22"/>
        </w:rPr>
        <w:t xml:space="preserve">Outcome: </w:t>
      </w:r>
      <w:r>
        <w:rPr>
          <w:sz w:val="22"/>
          <w:szCs w:val="22"/>
        </w:rPr>
        <w:t>Service Unit Outcome #</w:t>
      </w:r>
      <w:r>
        <w:t xml:space="preserve">6, </w:t>
      </w:r>
      <w:r>
        <w:rPr>
          <w:sz w:val="22"/>
          <w:szCs w:val="22"/>
        </w:rPr>
        <w:t>IT will provide and maintain a reliable telephone system.</w:t>
      </w:r>
    </w:p>
    <w:p w14:paraId="482FCB6F" w14:textId="77777777" w:rsidR="00A6196D" w:rsidRDefault="00A6196D" w:rsidP="00A6196D">
      <w:pPr>
        <w:pStyle w:val="Default"/>
        <w:rPr>
          <w:sz w:val="22"/>
          <w:szCs w:val="22"/>
        </w:rPr>
      </w:pPr>
    </w:p>
    <w:p w14:paraId="6C9C49EC" w14:textId="77777777" w:rsidR="00A6196D" w:rsidRDefault="00A6196D" w:rsidP="00A6196D">
      <w:pPr>
        <w:pStyle w:val="Default"/>
        <w:rPr>
          <w:sz w:val="22"/>
          <w:szCs w:val="22"/>
        </w:rPr>
      </w:pPr>
      <w:r>
        <w:rPr>
          <w:b/>
          <w:bCs/>
          <w:sz w:val="22"/>
          <w:szCs w:val="22"/>
        </w:rPr>
        <w:t xml:space="preserve">Objective: </w:t>
      </w:r>
      <w:r>
        <w:rPr>
          <w:sz w:val="22"/>
          <w:szCs w:val="22"/>
        </w:rPr>
        <w:t xml:space="preserve">The current decade old voicemail system requires a $10000 upgrade to work with the new version of office and integrate with outlook. The money would be better spent to purchase a system with a more modern approach to voicemail that did not involve loading a client, integrates with office 365 natively, serves online faxing services and can forward any voicemail to an email box to truly centralize communications. </w:t>
      </w:r>
    </w:p>
    <w:p w14:paraId="42CCD274" w14:textId="77777777" w:rsidR="00A6196D" w:rsidRDefault="00A6196D" w:rsidP="00A6196D">
      <w:pPr>
        <w:pStyle w:val="Default"/>
        <w:rPr>
          <w:sz w:val="22"/>
          <w:szCs w:val="22"/>
        </w:rPr>
      </w:pPr>
    </w:p>
    <w:p w14:paraId="46B27F63"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The College will replace the current voicemail system. </w:t>
      </w:r>
    </w:p>
    <w:p w14:paraId="48CDCB3C" w14:textId="77777777" w:rsidR="00A6196D" w:rsidRDefault="00A6196D" w:rsidP="00A6196D">
      <w:pPr>
        <w:pStyle w:val="Default"/>
        <w:rPr>
          <w:sz w:val="22"/>
          <w:szCs w:val="22"/>
        </w:rPr>
      </w:pPr>
    </w:p>
    <w:p w14:paraId="19FAA793" w14:textId="77777777" w:rsidR="00A6196D" w:rsidRDefault="00A6196D" w:rsidP="00A6196D">
      <w:r>
        <w:rPr>
          <w:b/>
          <w:bCs/>
        </w:rPr>
        <w:t xml:space="preserve">Estimated Cost: </w:t>
      </w:r>
      <w:r>
        <w:t>$80,000.</w:t>
      </w:r>
    </w:p>
    <w:p w14:paraId="3FFB5FA9" w14:textId="77777777" w:rsidR="00A6196D" w:rsidRDefault="00A6196D" w:rsidP="00A6196D">
      <w:pPr>
        <w:pStyle w:val="Default"/>
        <w:rPr>
          <w:sz w:val="22"/>
          <w:szCs w:val="22"/>
        </w:rPr>
      </w:pPr>
      <w:r>
        <w:rPr>
          <w:b/>
          <w:bCs/>
          <w:sz w:val="22"/>
          <w:szCs w:val="22"/>
          <w:u w:val="single"/>
        </w:rPr>
        <w:t>Goal 10</w:t>
      </w:r>
      <w:r>
        <w:rPr>
          <w:b/>
          <w:bCs/>
          <w:sz w:val="22"/>
          <w:szCs w:val="22"/>
        </w:rPr>
        <w:t xml:space="preserve">: </w:t>
      </w:r>
      <w:r>
        <w:rPr>
          <w:sz w:val="22"/>
          <w:szCs w:val="22"/>
        </w:rPr>
        <w:t>Virtual Desktop Infrastructure Pilot.</w:t>
      </w:r>
    </w:p>
    <w:p w14:paraId="2991A525" w14:textId="77777777" w:rsidR="00A6196D" w:rsidRDefault="00A6196D" w:rsidP="00A6196D">
      <w:pPr>
        <w:pStyle w:val="Default"/>
        <w:rPr>
          <w:sz w:val="22"/>
          <w:szCs w:val="22"/>
        </w:rPr>
      </w:pPr>
    </w:p>
    <w:p w14:paraId="5379529C" w14:textId="77777777" w:rsidR="00A6196D" w:rsidRDefault="00A6196D" w:rsidP="00A6196D">
      <w:pPr>
        <w:pStyle w:val="Default"/>
        <w:rPr>
          <w:sz w:val="22"/>
          <w:szCs w:val="22"/>
        </w:rPr>
      </w:pPr>
      <w:r>
        <w:rPr>
          <w:b/>
          <w:sz w:val="22"/>
          <w:szCs w:val="22"/>
        </w:rPr>
        <w:t xml:space="preserve">Outcome: </w:t>
      </w:r>
      <w:r>
        <w:rPr>
          <w:sz w:val="22"/>
          <w:szCs w:val="22"/>
        </w:rPr>
        <w:t>Service Unit Outcome #4, Evaluate and implement new innovative information systems that enhance technology for Jefferson State students, faculty and staff.</w:t>
      </w:r>
    </w:p>
    <w:p w14:paraId="7063002A" w14:textId="77777777" w:rsidR="00A6196D" w:rsidRDefault="00A6196D" w:rsidP="00A6196D">
      <w:pPr>
        <w:pStyle w:val="Default"/>
        <w:rPr>
          <w:sz w:val="22"/>
          <w:szCs w:val="22"/>
        </w:rPr>
      </w:pPr>
    </w:p>
    <w:p w14:paraId="210A2EC4" w14:textId="77777777" w:rsidR="00A6196D" w:rsidRDefault="00A6196D" w:rsidP="00A6196D">
      <w:pPr>
        <w:pStyle w:val="Default"/>
        <w:rPr>
          <w:sz w:val="22"/>
          <w:szCs w:val="22"/>
        </w:rPr>
      </w:pPr>
      <w:r>
        <w:rPr>
          <w:b/>
          <w:bCs/>
          <w:sz w:val="22"/>
          <w:szCs w:val="22"/>
        </w:rPr>
        <w:t xml:space="preserve">Objective: </w:t>
      </w:r>
      <w:r>
        <w:rPr>
          <w:sz w:val="22"/>
          <w:szCs w:val="22"/>
        </w:rPr>
        <w:t xml:space="preserve">The server virtualization project has been very successful from a management, reliability, data integrity and cost standpoint. The same benefits along with the future of cloud services can be projected onto the client side of PCs. A pilot project should be implemented to virtualize the 150 classroom PCs that populate the four campuses. That will both alleviate the hardware requirements of the oldest Pcs in service and give a proof of concept to the wider adoption of client side virtual PCs.  </w:t>
      </w:r>
    </w:p>
    <w:p w14:paraId="1EB0D113" w14:textId="77777777" w:rsidR="00A6196D" w:rsidRDefault="00A6196D" w:rsidP="00A6196D">
      <w:pPr>
        <w:pStyle w:val="Default"/>
        <w:rPr>
          <w:sz w:val="22"/>
          <w:szCs w:val="22"/>
        </w:rPr>
      </w:pPr>
    </w:p>
    <w:p w14:paraId="00517E67" w14:textId="77777777" w:rsidR="00A6196D" w:rsidRDefault="00A6196D" w:rsidP="00A6196D">
      <w:pPr>
        <w:pStyle w:val="Default"/>
        <w:rPr>
          <w:sz w:val="22"/>
          <w:szCs w:val="22"/>
        </w:rPr>
      </w:pPr>
      <w:r>
        <w:rPr>
          <w:b/>
          <w:bCs/>
          <w:sz w:val="22"/>
          <w:szCs w:val="22"/>
        </w:rPr>
        <w:t xml:space="preserve">Method of Assessment: </w:t>
      </w:r>
      <w:r>
        <w:rPr>
          <w:sz w:val="22"/>
          <w:szCs w:val="22"/>
        </w:rPr>
        <w:t xml:space="preserve">If 20 classroom Pcs are virtualized this pilot project will be considered complete.  </w:t>
      </w:r>
    </w:p>
    <w:p w14:paraId="516AE73F" w14:textId="77777777" w:rsidR="00A6196D" w:rsidRDefault="00A6196D" w:rsidP="00A6196D">
      <w:pPr>
        <w:pStyle w:val="Default"/>
        <w:rPr>
          <w:sz w:val="22"/>
          <w:szCs w:val="22"/>
        </w:rPr>
      </w:pPr>
    </w:p>
    <w:p w14:paraId="0D362DB7" w14:textId="77777777" w:rsidR="00A6196D" w:rsidRDefault="00A6196D" w:rsidP="00A6196D">
      <w:r>
        <w:rPr>
          <w:b/>
          <w:bCs/>
        </w:rPr>
        <w:t xml:space="preserve">Estimated Cost: </w:t>
      </w:r>
      <w:r>
        <w:t>$50,000</w:t>
      </w:r>
    </w:p>
    <w:p w14:paraId="72846E77" w14:textId="77777777" w:rsidR="00A6196D" w:rsidRDefault="00A6196D" w:rsidP="00A6196D"/>
    <w:p w14:paraId="5D8EB2C8" w14:textId="77777777" w:rsidR="00A6196D" w:rsidRDefault="00A6196D" w:rsidP="00A6196D"/>
    <w:p w14:paraId="466D7DB2" w14:textId="77777777" w:rsidR="00A6196D" w:rsidRDefault="00A6196D" w:rsidP="00A6196D">
      <w:pPr>
        <w:rPr>
          <w:rFonts w:cstheme="minorHAnsi"/>
        </w:rPr>
      </w:pPr>
    </w:p>
    <w:p w14:paraId="3EA5BF59" w14:textId="77777777" w:rsidR="00851C65" w:rsidRPr="00A6196D" w:rsidRDefault="00851C65" w:rsidP="00A6196D">
      <w:bookmarkStart w:id="0" w:name="_GoBack"/>
      <w:bookmarkEnd w:id="0"/>
    </w:p>
    <w:sectPr w:rsidR="00851C65" w:rsidRPr="00A6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25"/>
    <w:rsid w:val="001D5501"/>
    <w:rsid w:val="002026AC"/>
    <w:rsid w:val="003B5261"/>
    <w:rsid w:val="003C7B7F"/>
    <w:rsid w:val="003D2790"/>
    <w:rsid w:val="004E7641"/>
    <w:rsid w:val="0066626A"/>
    <w:rsid w:val="00851C65"/>
    <w:rsid w:val="008D2B35"/>
    <w:rsid w:val="00962F81"/>
    <w:rsid w:val="00A6196D"/>
    <w:rsid w:val="00A943B3"/>
    <w:rsid w:val="00B81677"/>
    <w:rsid w:val="00FA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4E8D"/>
  <w15:chartTrackingRefBased/>
  <w15:docId w15:val="{13E29162-162F-43BF-958A-D6CCE1A0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1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22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FA322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Moore</dc:creator>
  <cp:keywords/>
  <dc:description/>
  <cp:lastModifiedBy>Nader Zandi</cp:lastModifiedBy>
  <cp:revision>9</cp:revision>
  <dcterms:created xsi:type="dcterms:W3CDTF">2016-09-02T16:18:00Z</dcterms:created>
  <dcterms:modified xsi:type="dcterms:W3CDTF">2016-09-15T14:56:00Z</dcterms:modified>
</cp:coreProperties>
</file>