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3C53" w:rsidRDefault="00503C53" w:rsidP="00503C53">
      <w:pPr>
        <w:ind w:left="1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6E30E12" wp14:editId="5F9FB017">
                <wp:extent cx="4157980" cy="746760"/>
                <wp:effectExtent l="9525" t="9525" r="13970" b="571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C53" w:rsidRDefault="00503C53" w:rsidP="00503C53">
                            <w:pPr>
                              <w:spacing w:before="71" w:line="453" w:lineRule="auto"/>
                              <w:ind w:left="2419" w:right="241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Unit Strategic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Plan 2016 -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7.4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ATeQIAAAAFAAAOAAAAZHJzL2Uyb0RvYy54bWysVMtu2zAQvBfoPxC8O7Jc+SVEDlLLLgqk&#10;DyDpB9AkZRGlSJakLaVB/71LynKc5lIU1UFaicvhzO6srm+6RqIjt05oVeD0aowRV1QzofYF/vaw&#10;HS0wcp4oRqRWvMCP3OGb1ds3163J+UTXWjJuEYAol7emwLX3Jk8SR2veEHelDVewWGnbEA+vdp8w&#10;S1pAb2QyGY9nSastM1ZT7hx8LftFvIr4VcWp/1JVjnskCwzcfLzbeN+Fe7K6JvneElMLeqJB/oFF&#10;Q4SCQ89QJfEEHax4BdUIarXTlb+iukl0VQnKowZQk47/UHNfE8OjFiiOM+cyuf8HSz8fv1okGPQO&#10;yqNIAz164J1H73WHJqE8rXE5ZN0byPMdfIbUKNWZO02/O6T0uiZqz2+t1W3NCQN6adiZXGztcVwA&#10;2bWfNINjyMHrCNRVtgm1g2ogQAcej+fWBCoUPmbpdL5cwBKFtXk2m89i7xKSD7uNdf4D1w0KQYEt&#10;tD6ik+Od84ENyYeUcJjSWyFlbL9UqC3wcjqZ9rq0FCwshjRn97u1tOhIgoHiFaXBymVaIzzYWIqm&#10;wItzEslDNTaKxVM8EbKPgYlUARzEAbdT1NvlaTlebhabRTbKJrPNKBuX5eh2u85Gs206n5bvyvW6&#10;TH8FnmmW14IxrgLVwbpp9nfWOA1Rb7qzeV9IeqF8G6/XypOXNGKVQdXwjOqiDULnew/4btdBQYI3&#10;dpo9giGs7scSfiMQ1Nr+xKiFkSyw+3EglmMkPyowVZjfIbBDsBsCoihsLbDHqA/Xvp/zg7FiXwNy&#10;b1ulb8F4lYieeGZxsiuMWSR/+iWEOb58j1nPP67VbwAAAP//AwBQSwMEFAAGAAgAAAAhAApGaDDc&#10;AAAABQEAAA8AAABkcnMvZG93bnJldi54bWxMj0FLw0AQhe9C/8MyBS9iNxWNJWZTpOhNxFZLe9xm&#10;x2xIdjZkt0367x170cvA4z3efC9fjq4VJ+xD7UnBfJaAQCq9qalS8PX5ersAEaImo1tPqOCMAZbF&#10;5CrXmfEDrfG0iZXgEgqZVmBj7DIpQ2nR6TDzHRJ73753OrLsK2l6PXC5a+VdkqTS6Zr4g9UdriyW&#10;zeboFDTv9mO9e1vtyxuJTTVsk93i/KLU9XR8fgIRcYx/YfjFZ3QomOngj2SCaBXwkHi57KUP9zzj&#10;wKH5YwqyyOV/+uIHAAD//wMAUEsBAi0AFAAGAAgAAAAhALaDOJL+AAAA4QEAABMAAAAAAAAAAAAA&#10;AAAAAAAAAFtDb250ZW50X1R5cGVzXS54bWxQSwECLQAUAAYACAAAACEAOP0h/9YAAACUAQAACwAA&#10;AAAAAAAAAAAAAAAvAQAAX3JlbHMvLnJlbHNQSwECLQAUAAYACAAAACEAkIVgE3kCAAAABQAADgAA&#10;AAAAAAAAAAAAAAAuAgAAZHJzL2Uyb0RvYy54bWxQSwECLQAUAAYACAAAACEACkZoMNwAAAAFAQAA&#10;DwAAAAAAAAAAAAAAAADTBAAAZHJzL2Rvd25yZXYueG1sUEsFBgAAAAAEAAQA8wAAANwFAAAAAA==&#10;" filled="f">
                <v:textbox inset="0,0,0,0">
                  <w:txbxContent>
                    <w:p w:rsidR="00503C53" w:rsidRDefault="00503C53" w:rsidP="00503C53">
                      <w:pPr>
                        <w:spacing w:before="71" w:line="453" w:lineRule="auto"/>
                        <w:ind w:left="2419" w:right="241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Unit Strategic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Plan 2016 -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3C53" w:rsidRDefault="00503C53" w:rsidP="00503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C53" w:rsidRDefault="00503C53" w:rsidP="00503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C53" w:rsidRDefault="00503C53" w:rsidP="00503C53">
      <w:pPr>
        <w:rPr>
          <w:rFonts w:ascii="Calibri" w:eastAsia="Calibri" w:hAnsi="Calibri" w:cs="Calibri"/>
        </w:rPr>
      </w:pPr>
    </w:p>
    <w:p w:rsidR="00503C53" w:rsidRDefault="00503C53" w:rsidP="00503C5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03C53" w:rsidRDefault="00503C53" w:rsidP="00503C53">
      <w:pPr>
        <w:pStyle w:val="Heading1"/>
        <w:spacing w:line="453" w:lineRule="auto"/>
        <w:ind w:right="143"/>
        <w:rPr>
          <w:b w:val="0"/>
          <w:bCs w:val="0"/>
        </w:rPr>
      </w:pPr>
      <w:r>
        <w:t>Name of Program/Department: Mathematics, Engineering, and Physical Science</w:t>
      </w:r>
      <w:r>
        <w:rPr>
          <w:rFonts w:cs="Calibri"/>
        </w:rPr>
        <w:t>—</w:t>
      </w:r>
      <w:r>
        <w:t>Shelby Campus Mission Statement (for the program or</w:t>
      </w:r>
      <w:r>
        <w:rPr>
          <w:spacing w:val="-19"/>
        </w:rPr>
        <w:t xml:space="preserve"> </w:t>
      </w:r>
      <w:r>
        <w:t>department):</w:t>
      </w:r>
    </w:p>
    <w:p w:rsidR="00503C53" w:rsidRDefault="00503C53" w:rsidP="00503C53">
      <w:pPr>
        <w:pStyle w:val="BodyText"/>
        <w:spacing w:before="1" w:line="276" w:lineRule="auto"/>
        <w:ind w:right="438"/>
      </w:pPr>
      <w:r>
        <w:t xml:space="preserve"> The Department of Mathematics/Engineering/Physical Sciences offers a broad range of courses that service the career programs of the college and that will transfer to </w:t>
      </w:r>
      <w:r w:rsidRPr="00C441CC">
        <w:rPr>
          <w:noProof/>
        </w:rPr>
        <w:t>baccalaureate</w:t>
      </w:r>
      <w:r>
        <w:t xml:space="preserve"> </w:t>
      </w:r>
      <w:r w:rsidRPr="00C441CC">
        <w:rPr>
          <w:noProof/>
        </w:rPr>
        <w:t>degree granting</w:t>
      </w:r>
      <w:r>
        <w:t xml:space="preserve"> institutions. The department also offers developmental mathematics courses to prepare students for </w:t>
      </w:r>
      <w:r w:rsidRPr="00C441CC">
        <w:rPr>
          <w:noProof/>
        </w:rPr>
        <w:t>college</w:t>
      </w:r>
      <w:r w:rsidR="00C441CC">
        <w:rPr>
          <w:noProof/>
        </w:rPr>
        <w:t>-</w:t>
      </w:r>
      <w:r w:rsidRPr="00C441CC">
        <w:rPr>
          <w:noProof/>
        </w:rPr>
        <w:t>level</w:t>
      </w:r>
      <w:r>
        <w:rPr>
          <w:spacing w:val="-2"/>
        </w:rPr>
        <w:t xml:space="preserve"> </w:t>
      </w:r>
      <w:r w:rsidRPr="00C441CC">
        <w:rPr>
          <w:noProof/>
        </w:rPr>
        <w:t>mathematics</w:t>
      </w:r>
      <w:r>
        <w:t>.</w:t>
      </w:r>
    </w:p>
    <w:p w:rsidR="00503C53" w:rsidRDefault="00503C53" w:rsidP="00503C53">
      <w:pPr>
        <w:spacing w:before="11"/>
        <w:rPr>
          <w:rFonts w:ascii="Calibri" w:eastAsia="Calibri" w:hAnsi="Calibri" w:cs="Calibri"/>
        </w:rPr>
      </w:pPr>
    </w:p>
    <w:p w:rsidR="00503C53" w:rsidRDefault="00503C53" w:rsidP="00503C53">
      <w:pPr>
        <w:pStyle w:val="Heading1"/>
        <w:ind w:right="143"/>
        <w:rPr>
          <w:rFonts w:ascii="Cambria" w:eastAsia="Cambria" w:hAnsi="Cambria" w:cs="Cambria"/>
          <w:b w:val="0"/>
          <w:bCs w:val="0"/>
        </w:rPr>
      </w:pPr>
      <w:r>
        <w:rPr>
          <w:rFonts w:ascii="Cambria"/>
        </w:rPr>
        <w:t>The Department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Will:</w:t>
      </w:r>
    </w:p>
    <w:p w:rsidR="00503C53" w:rsidRDefault="00503C53" w:rsidP="00503C53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p w:rsidR="00503C53" w:rsidRPr="00B5162D" w:rsidRDefault="00503C53" w:rsidP="00503C53">
      <w:pPr>
        <w:pStyle w:val="ListParagraph"/>
        <w:numPr>
          <w:ilvl w:val="0"/>
          <w:numId w:val="1"/>
        </w:numPr>
        <w:tabs>
          <w:tab w:val="left" w:pos="821"/>
        </w:tabs>
        <w:ind w:right="210"/>
        <w:rPr>
          <w:rFonts w:eastAsia="Cambria" w:cs="Cambria"/>
        </w:rPr>
      </w:pPr>
      <w:r w:rsidRPr="00C441CC">
        <w:rPr>
          <w:noProof/>
        </w:rPr>
        <w:t>provide</w:t>
      </w:r>
      <w:r w:rsidRPr="00B5162D">
        <w:t xml:space="preserve"> freshman and sophomore-level </w:t>
      </w:r>
      <w:r w:rsidRPr="00C441CC">
        <w:rPr>
          <w:noProof/>
        </w:rPr>
        <w:t>course work</w:t>
      </w:r>
      <w:r w:rsidRPr="00B5162D">
        <w:t xml:space="preserve"> </w:t>
      </w:r>
      <w:r w:rsidR="00C441CC">
        <w:rPr>
          <w:noProof/>
        </w:rPr>
        <w:t>that</w:t>
      </w:r>
      <w:r w:rsidRPr="00B5162D">
        <w:t xml:space="preserve"> meets or exceeds the standards of public institutions of higher</w:t>
      </w:r>
      <w:r w:rsidRPr="00B5162D">
        <w:rPr>
          <w:spacing w:val="-19"/>
        </w:rPr>
        <w:t xml:space="preserve"> </w:t>
      </w:r>
      <w:r w:rsidRPr="00B5162D">
        <w:t>learning.</w:t>
      </w:r>
    </w:p>
    <w:p w:rsidR="00503C53" w:rsidRPr="00B5162D" w:rsidRDefault="00503C53" w:rsidP="00503C53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rPr>
          <w:rFonts w:eastAsia="Cambria" w:cs="Cambria"/>
        </w:rPr>
      </w:pPr>
      <w:r w:rsidRPr="00C441CC">
        <w:rPr>
          <w:noProof/>
        </w:rPr>
        <w:t>offer</w:t>
      </w:r>
      <w:r w:rsidRPr="00B5162D">
        <w:t xml:space="preserve"> an innovative remedial mathematics program accommodating various skill</w:t>
      </w:r>
      <w:r w:rsidRPr="00B5162D">
        <w:rPr>
          <w:spacing w:val="-31"/>
        </w:rPr>
        <w:t xml:space="preserve"> </w:t>
      </w:r>
      <w:r w:rsidRPr="00B5162D">
        <w:t>levels.</w:t>
      </w:r>
    </w:p>
    <w:p w:rsidR="00503C53" w:rsidRPr="00B5162D" w:rsidRDefault="00503C53" w:rsidP="00503C5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40"/>
        <w:rPr>
          <w:rFonts w:eastAsia="Cambria" w:cs="Cambria"/>
        </w:rPr>
      </w:pPr>
      <w:r w:rsidRPr="00C441CC">
        <w:rPr>
          <w:noProof/>
        </w:rPr>
        <w:t>develop</w:t>
      </w:r>
      <w:r w:rsidRPr="00B5162D">
        <w:t xml:space="preserve"> and provide courses relevant to the career and professional degree programs of the college.</w:t>
      </w:r>
    </w:p>
    <w:p w:rsidR="00503C53" w:rsidRPr="00B5162D" w:rsidRDefault="00503C53" w:rsidP="00503C5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28"/>
        <w:rPr>
          <w:rFonts w:eastAsia="Cambria" w:cs="Cambria"/>
        </w:rPr>
      </w:pPr>
      <w:r w:rsidRPr="00C441CC">
        <w:rPr>
          <w:noProof/>
        </w:rPr>
        <w:t>prepare</w:t>
      </w:r>
      <w:r w:rsidRPr="00B5162D">
        <w:t xml:space="preserve"> students with strong content knowledge in chemistry and physics with emphasis on</w:t>
      </w:r>
      <w:r w:rsidRPr="00B5162D">
        <w:rPr>
          <w:spacing w:val="-4"/>
        </w:rPr>
        <w:t xml:space="preserve"> </w:t>
      </w:r>
      <w:r w:rsidRPr="00B5162D">
        <w:t>critical</w:t>
      </w:r>
      <w:r w:rsidRPr="00B5162D">
        <w:rPr>
          <w:spacing w:val="-2"/>
        </w:rPr>
        <w:t xml:space="preserve"> </w:t>
      </w:r>
      <w:r w:rsidRPr="00B5162D">
        <w:t>thinking</w:t>
      </w:r>
      <w:r w:rsidRPr="00B5162D">
        <w:rPr>
          <w:spacing w:val="-3"/>
        </w:rPr>
        <w:t xml:space="preserve"> </w:t>
      </w:r>
      <w:r w:rsidRPr="00B5162D">
        <w:t>and</w:t>
      </w:r>
      <w:r w:rsidRPr="00B5162D">
        <w:rPr>
          <w:spacing w:val="-3"/>
        </w:rPr>
        <w:t xml:space="preserve"> </w:t>
      </w:r>
      <w:r w:rsidRPr="00C441CC">
        <w:rPr>
          <w:noProof/>
        </w:rPr>
        <w:t>problem</w:t>
      </w:r>
      <w:r w:rsidRPr="00C441CC">
        <w:rPr>
          <w:noProof/>
          <w:spacing w:val="-4"/>
        </w:rPr>
        <w:t xml:space="preserve"> </w:t>
      </w:r>
      <w:r w:rsidRPr="00C441CC">
        <w:rPr>
          <w:noProof/>
        </w:rPr>
        <w:t>solving</w:t>
      </w:r>
      <w:r w:rsidRPr="00B5162D">
        <w:rPr>
          <w:spacing w:val="-4"/>
        </w:rPr>
        <w:t xml:space="preserve"> </w:t>
      </w:r>
      <w:r w:rsidRPr="00B5162D">
        <w:t>skills,</w:t>
      </w:r>
      <w:r w:rsidRPr="00B5162D">
        <w:rPr>
          <w:spacing w:val="-2"/>
        </w:rPr>
        <w:t xml:space="preserve"> </w:t>
      </w:r>
      <w:r w:rsidRPr="00B5162D">
        <w:t>which</w:t>
      </w:r>
      <w:r w:rsidRPr="00B5162D">
        <w:rPr>
          <w:spacing w:val="-2"/>
        </w:rPr>
        <w:t xml:space="preserve"> </w:t>
      </w:r>
      <w:r w:rsidRPr="00B5162D">
        <w:t>will</w:t>
      </w:r>
      <w:r w:rsidRPr="00B5162D">
        <w:rPr>
          <w:spacing w:val="-2"/>
        </w:rPr>
        <w:t xml:space="preserve"> </w:t>
      </w:r>
      <w:r w:rsidRPr="00B5162D">
        <w:t>allow</w:t>
      </w:r>
      <w:r w:rsidRPr="00B5162D">
        <w:rPr>
          <w:spacing w:val="-3"/>
        </w:rPr>
        <w:t xml:space="preserve"> </w:t>
      </w:r>
      <w:r w:rsidRPr="00B5162D">
        <w:t>them</w:t>
      </w:r>
      <w:r w:rsidRPr="00B5162D">
        <w:rPr>
          <w:spacing w:val="-1"/>
        </w:rPr>
        <w:t xml:space="preserve"> </w:t>
      </w:r>
      <w:r w:rsidRPr="00B5162D">
        <w:t>to</w:t>
      </w:r>
      <w:r w:rsidRPr="00B5162D">
        <w:rPr>
          <w:spacing w:val="-5"/>
        </w:rPr>
        <w:t xml:space="preserve"> </w:t>
      </w:r>
      <w:r w:rsidRPr="00B5162D">
        <w:t>meet</w:t>
      </w:r>
      <w:r w:rsidRPr="00B5162D">
        <w:rPr>
          <w:spacing w:val="-5"/>
        </w:rPr>
        <w:t xml:space="preserve"> </w:t>
      </w:r>
      <w:r w:rsidRPr="00B5162D">
        <w:t>career</w:t>
      </w:r>
      <w:r w:rsidRPr="00B5162D">
        <w:rPr>
          <w:spacing w:val="-3"/>
        </w:rPr>
        <w:t xml:space="preserve"> </w:t>
      </w:r>
      <w:r w:rsidRPr="00B5162D">
        <w:t>goals.</w:t>
      </w:r>
    </w:p>
    <w:p w:rsidR="00503C53" w:rsidRPr="00B5162D" w:rsidRDefault="00503C53" w:rsidP="00503C5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982"/>
        <w:rPr>
          <w:rFonts w:eastAsia="Cambria" w:cs="Cambria"/>
        </w:rPr>
      </w:pPr>
      <w:r w:rsidRPr="00C441CC">
        <w:rPr>
          <w:noProof/>
        </w:rPr>
        <w:t>offer</w:t>
      </w:r>
      <w:r w:rsidRPr="00B5162D">
        <w:t xml:space="preserve"> transferable courses in astronomy and physical science that will meet general education requirements in</w:t>
      </w:r>
      <w:r w:rsidRPr="00B5162D">
        <w:rPr>
          <w:spacing w:val="-10"/>
        </w:rPr>
        <w:t xml:space="preserve"> </w:t>
      </w:r>
      <w:r w:rsidRPr="00B5162D">
        <w:t>science.</w:t>
      </w:r>
    </w:p>
    <w:p w:rsidR="00503C53" w:rsidRPr="00B5162D" w:rsidRDefault="00503C53" w:rsidP="00503C53">
      <w:pPr>
        <w:pStyle w:val="ListParagraph"/>
        <w:numPr>
          <w:ilvl w:val="0"/>
          <w:numId w:val="1"/>
        </w:numPr>
        <w:tabs>
          <w:tab w:val="left" w:pos="821"/>
        </w:tabs>
        <w:spacing w:before="1" w:line="269" w:lineRule="exact"/>
        <w:rPr>
          <w:rFonts w:eastAsia="Cambria" w:cs="Cambria"/>
        </w:rPr>
      </w:pPr>
      <w:r w:rsidRPr="00C441CC">
        <w:rPr>
          <w:noProof/>
        </w:rPr>
        <w:t>ensure</w:t>
      </w:r>
      <w:r w:rsidRPr="00B5162D">
        <w:rPr>
          <w:spacing w:val="-7"/>
        </w:rPr>
        <w:t xml:space="preserve"> </w:t>
      </w:r>
      <w:r w:rsidRPr="00B5162D">
        <w:t>supplementary</w:t>
      </w:r>
      <w:r w:rsidRPr="00B5162D">
        <w:rPr>
          <w:spacing w:val="-5"/>
        </w:rPr>
        <w:t xml:space="preserve"> </w:t>
      </w:r>
      <w:r w:rsidRPr="00B5162D">
        <w:t>student</w:t>
      </w:r>
      <w:r w:rsidRPr="00B5162D">
        <w:rPr>
          <w:spacing w:val="-5"/>
        </w:rPr>
        <w:t xml:space="preserve"> </w:t>
      </w:r>
      <w:r w:rsidRPr="00B5162D">
        <w:t>support</w:t>
      </w:r>
      <w:r w:rsidRPr="00B5162D">
        <w:rPr>
          <w:spacing w:val="-4"/>
        </w:rPr>
        <w:t xml:space="preserve"> </w:t>
      </w:r>
      <w:r w:rsidRPr="00B5162D">
        <w:t>through</w:t>
      </w:r>
      <w:r w:rsidRPr="00B5162D">
        <w:rPr>
          <w:spacing w:val="-4"/>
        </w:rPr>
        <w:t xml:space="preserve"> </w:t>
      </w:r>
      <w:r w:rsidRPr="00B5162D">
        <w:t>audiovisual</w:t>
      </w:r>
      <w:r w:rsidRPr="00B5162D">
        <w:rPr>
          <w:spacing w:val="-4"/>
        </w:rPr>
        <w:t xml:space="preserve"> </w:t>
      </w:r>
      <w:r w:rsidRPr="00B5162D">
        <w:t>materials</w:t>
      </w:r>
      <w:r w:rsidRPr="00B5162D">
        <w:rPr>
          <w:spacing w:val="-4"/>
        </w:rPr>
        <w:t xml:space="preserve"> </w:t>
      </w:r>
      <w:r w:rsidRPr="00B5162D">
        <w:t>and</w:t>
      </w:r>
      <w:r w:rsidRPr="00B5162D">
        <w:rPr>
          <w:spacing w:val="-5"/>
        </w:rPr>
        <w:t xml:space="preserve"> </w:t>
      </w:r>
      <w:r w:rsidRPr="00B5162D">
        <w:t>tutorial</w:t>
      </w:r>
      <w:r w:rsidRPr="00B5162D">
        <w:rPr>
          <w:spacing w:val="-7"/>
        </w:rPr>
        <w:t xml:space="preserve"> </w:t>
      </w:r>
      <w:r w:rsidRPr="00B5162D">
        <w:t>services.</w:t>
      </w:r>
    </w:p>
    <w:p w:rsidR="00503C53" w:rsidRPr="00B5162D" w:rsidRDefault="00503C53" w:rsidP="00503C53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rPr>
          <w:rFonts w:eastAsia="Cambria" w:cs="Cambria"/>
        </w:rPr>
      </w:pPr>
      <w:r w:rsidRPr="00C441CC">
        <w:rPr>
          <w:noProof/>
        </w:rPr>
        <w:t>provide</w:t>
      </w:r>
      <w:r w:rsidRPr="00B5162D">
        <w:rPr>
          <w:spacing w:val="-4"/>
        </w:rPr>
        <w:t xml:space="preserve"> </w:t>
      </w:r>
      <w:r w:rsidRPr="00B5162D">
        <w:t>academic</w:t>
      </w:r>
      <w:r w:rsidRPr="00B5162D">
        <w:rPr>
          <w:spacing w:val="-3"/>
        </w:rPr>
        <w:t xml:space="preserve"> </w:t>
      </w:r>
      <w:r w:rsidRPr="00B5162D">
        <w:t>advising</w:t>
      </w:r>
      <w:r w:rsidRPr="00B5162D">
        <w:rPr>
          <w:spacing w:val="-5"/>
        </w:rPr>
        <w:t xml:space="preserve"> </w:t>
      </w:r>
      <w:r w:rsidRPr="00B5162D">
        <w:t>to</w:t>
      </w:r>
      <w:r w:rsidRPr="00B5162D">
        <w:rPr>
          <w:spacing w:val="-4"/>
        </w:rPr>
        <w:t xml:space="preserve"> </w:t>
      </w:r>
      <w:r w:rsidRPr="00B5162D">
        <w:t>students</w:t>
      </w:r>
      <w:r w:rsidRPr="00B5162D">
        <w:rPr>
          <w:spacing w:val="-3"/>
        </w:rPr>
        <w:t xml:space="preserve"> </w:t>
      </w:r>
      <w:r w:rsidRPr="00B5162D">
        <w:t>with</w:t>
      </w:r>
      <w:r w:rsidRPr="00B5162D">
        <w:rPr>
          <w:spacing w:val="-4"/>
        </w:rPr>
        <w:t xml:space="preserve"> </w:t>
      </w:r>
      <w:r w:rsidRPr="00B5162D">
        <w:t>engineering</w:t>
      </w:r>
      <w:r w:rsidRPr="00B5162D">
        <w:rPr>
          <w:spacing w:val="-5"/>
        </w:rPr>
        <w:t xml:space="preserve"> </w:t>
      </w:r>
      <w:r w:rsidRPr="00B5162D">
        <w:t>majors</w:t>
      </w:r>
      <w:r w:rsidRPr="00B5162D">
        <w:rPr>
          <w:spacing w:val="-3"/>
        </w:rPr>
        <w:t xml:space="preserve"> </w:t>
      </w:r>
      <w:r w:rsidRPr="00B5162D">
        <w:t>and</w:t>
      </w:r>
      <w:r w:rsidRPr="00B5162D">
        <w:rPr>
          <w:spacing w:val="-5"/>
        </w:rPr>
        <w:t xml:space="preserve"> </w:t>
      </w:r>
      <w:r w:rsidRPr="00B5162D">
        <w:t>general</w:t>
      </w:r>
      <w:r w:rsidRPr="00B5162D">
        <w:rPr>
          <w:spacing w:val="-7"/>
        </w:rPr>
        <w:t xml:space="preserve"> </w:t>
      </w:r>
      <w:r w:rsidRPr="00B5162D">
        <w:t>studies</w:t>
      </w:r>
    </w:p>
    <w:p w:rsidR="00503C53" w:rsidRDefault="00503C53" w:rsidP="00503C53">
      <w:pPr>
        <w:spacing w:before="7"/>
        <w:rPr>
          <w:rFonts w:ascii="Cambria" w:eastAsia="Cambria" w:hAnsi="Cambria" w:cs="Cambria"/>
          <w:sz w:val="23"/>
          <w:szCs w:val="23"/>
        </w:rPr>
      </w:pPr>
    </w:p>
    <w:p w:rsidR="00503C53" w:rsidRDefault="00503C53" w:rsidP="00503C53">
      <w:pPr>
        <w:pStyle w:val="Heading1"/>
        <w:spacing w:line="278" w:lineRule="auto"/>
        <w:ind w:right="438"/>
        <w:rPr>
          <w:b w:val="0"/>
          <w:bCs w:val="0"/>
        </w:rPr>
      </w:pPr>
      <w:r>
        <w:t>Summary of Access, Productivity and Effectiveness (Including, but not limited to, program</w:t>
      </w:r>
      <w:r>
        <w:rPr>
          <w:spacing w:val="-34"/>
        </w:rPr>
        <w:t xml:space="preserve"> </w:t>
      </w:r>
      <w:r>
        <w:t>load, success rate, retention rate, completion rate, employer surveys, student</w:t>
      </w:r>
      <w:r>
        <w:rPr>
          <w:spacing w:val="-23"/>
        </w:rPr>
        <w:t xml:space="preserve"> </w:t>
      </w:r>
      <w:r>
        <w:t>surveys):</w:t>
      </w:r>
    </w:p>
    <w:p w:rsidR="00503C53" w:rsidRDefault="00296507" w:rsidP="00503C53">
      <w:pPr>
        <w:pStyle w:val="BodyText"/>
        <w:spacing w:before="195" w:line="276" w:lineRule="auto"/>
        <w:ind w:right="143"/>
      </w:pPr>
      <w:r>
        <w:t>A comparison of the 2013-2014</w:t>
      </w:r>
      <w:r w:rsidR="00C441CC">
        <w:t xml:space="preserve"> and </w:t>
      </w:r>
      <w:r>
        <w:t xml:space="preserve"> </w:t>
      </w:r>
      <w:r w:rsidR="00C441CC" w:rsidRPr="00C441CC">
        <w:rPr>
          <w:noProof/>
        </w:rPr>
        <w:t>2014-2015</w:t>
      </w:r>
      <w:r w:rsidR="00C441CC">
        <w:t xml:space="preserve"> </w:t>
      </w:r>
      <w:r>
        <w:t xml:space="preserve">academic year </w:t>
      </w:r>
      <w:r w:rsidR="00503C53">
        <w:t>enrollme</w:t>
      </w:r>
      <w:r>
        <w:t>n</w:t>
      </w:r>
      <w:r w:rsidR="00C441CC">
        <w:t xml:space="preserve">t </w:t>
      </w:r>
      <w:r w:rsidR="00C441CC" w:rsidRPr="00C441CC">
        <w:rPr>
          <w:noProof/>
        </w:rPr>
        <w:t>numbers</w:t>
      </w:r>
      <w:r w:rsidR="00503C53" w:rsidRPr="00C441CC">
        <w:rPr>
          <w:noProof/>
        </w:rPr>
        <w:t xml:space="preserve"> indicate</w:t>
      </w:r>
      <w:r w:rsidR="00503C53">
        <w:t xml:space="preserve"> a  15% decrease for the Shelby Math, Engineering, and Physical Sciences </w:t>
      </w:r>
      <w:r w:rsidR="00503C53" w:rsidRPr="00C441CC">
        <w:rPr>
          <w:noProof/>
        </w:rPr>
        <w:t>Department.</w:t>
      </w:r>
      <w:r w:rsidR="00503C53">
        <w:t xml:space="preserve">  This decline is reflective of an overall drop in enrollment at Jefferson State Community College and throughout the system. This notable change can </w:t>
      </w:r>
      <w:r w:rsidR="00503C53" w:rsidRPr="00C441CC">
        <w:rPr>
          <w:noProof/>
        </w:rPr>
        <w:t>be contributed</w:t>
      </w:r>
      <w:r w:rsidR="00503C53">
        <w:t xml:space="preserve"> to changes in the distribution of Pell </w:t>
      </w:r>
      <w:r w:rsidR="00503C53" w:rsidRPr="00C441CC">
        <w:rPr>
          <w:noProof/>
        </w:rPr>
        <w:t>Grant</w:t>
      </w:r>
      <w:r w:rsidR="00503C53">
        <w:t xml:space="preserve"> funds.   However, </w:t>
      </w:r>
      <w:r w:rsidR="00C441CC">
        <w:rPr>
          <w:noProof/>
        </w:rPr>
        <w:t>particular</w:t>
      </w:r>
      <w:r w:rsidR="00503C53">
        <w:t xml:space="preserve"> classes did show a percent increase in enrollment between the two </w:t>
      </w:r>
      <w:r>
        <w:t>academic years</w:t>
      </w:r>
      <w:r w:rsidR="00503C53">
        <w:t xml:space="preserve"> (</w:t>
      </w:r>
      <w:r w:rsidR="00503C53" w:rsidRPr="00A3357D">
        <w:rPr>
          <w:b/>
        </w:rPr>
        <w:t>Chart 2</w:t>
      </w:r>
      <w:r w:rsidR="00503C53">
        <w:t xml:space="preserve">).  </w:t>
      </w:r>
    </w:p>
    <w:p w:rsidR="00503C53" w:rsidRDefault="00503C53" w:rsidP="00503C53">
      <w:pPr>
        <w:spacing w:line="276" w:lineRule="auto"/>
      </w:pPr>
    </w:p>
    <w:p w:rsidR="00503C53" w:rsidRDefault="00503C53" w:rsidP="00503C53">
      <w:pPr>
        <w:spacing w:line="276" w:lineRule="auto"/>
      </w:pPr>
    </w:p>
    <w:p w:rsidR="00503C53" w:rsidRDefault="00503C53" w:rsidP="00503C53">
      <w:pPr>
        <w:spacing w:line="276" w:lineRule="auto"/>
        <w:ind w:firstLine="720"/>
      </w:pPr>
    </w:p>
    <w:p w:rsidR="00503C53" w:rsidRDefault="00503C53" w:rsidP="00503C53">
      <w:pPr>
        <w:spacing w:line="276" w:lineRule="auto"/>
        <w:ind w:firstLine="720"/>
      </w:pPr>
      <w:r w:rsidRPr="00277020">
        <w:rPr>
          <w:noProof/>
        </w:rPr>
        <w:lastRenderedPageBreak/>
        <w:drawing>
          <wp:inline distT="0" distB="0" distL="0" distR="0" wp14:anchorId="1444770E" wp14:editId="21981756">
            <wp:extent cx="4234215" cy="377867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1" cy="378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405C2" wp14:editId="151DDEED">
                <wp:simplePos x="0" y="0"/>
                <wp:positionH relativeFrom="column">
                  <wp:posOffset>460540</wp:posOffset>
                </wp:positionH>
                <wp:positionV relativeFrom="paragraph">
                  <wp:posOffset>-341712</wp:posOffset>
                </wp:positionV>
                <wp:extent cx="4643561" cy="310101"/>
                <wp:effectExtent l="0" t="0" r="2413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561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53" w:rsidRDefault="00503C53" w:rsidP="00503C53">
                            <w:r>
                              <w:t xml:space="preserve">Table 1. 2014-2015 Enrollment in Math Courses by Instructional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6.25pt;margin-top:-26.9pt;width:365.6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RvlAIAALsFAAAOAAAAZHJzL2Uyb0RvYy54bWysVE1PGzEQvVfqf7B8L5tASNuIDUpBVJUQ&#10;oELF2fHaZIXX49pOsumv59mbDYFyoepl15558/U8MyenbWPYSvlQky358GDAmbKSqto+lPzX3cWn&#10;L5yFKGwlDFlV8o0K/HT68cPJ2k3UIS3IVMozOLFhsnYlX8ToJkUR5EI1IhyQUxZKTb4REVf/UFRe&#10;rOG9McXhYDAu1uQr50mqECA975R8mv1rrWS81jqoyEzJkVvMX5+/8/Qtpidi8uCFW9Rym4b4hywa&#10;UVsE3bk6F1Gwpa//ctXU0lMgHQ8kNQVpXUuVa0A1w8Gram4XwqlcC8gJbkdT+H9u5dXqxrO6wtuN&#10;OLOiwRvdqTayb9QyiMDP2oUJYLcOwNhCDmwvDxCmslvtm/RHQQx6ML3ZsZu8SQhH49HR8XjImYTu&#10;aIhys5vi2dr5EL8ralg6lNzj9TKpYnUZIjIBtIekYIFMXV3UxuRL6hh1ZjxbCby1ib3zFyhj2brk&#10;46PjQXb8Qpdc7+znRsjHVCVi7qFwMzaFU7m3tmklhjom8ilujEoYY38qDW4zIW/kKKRUdpdnRieU&#10;RkXvMdzin7N6j3FXByxyZLJxZ9zUlnzH0ktqq8eeWt3hQdJe3ekY23nbNVXfKHOqNugfT90EBicv&#10;avB9KUK8ER4jh5bBGonX+GhDeCTanjhbkP/zljzhMQnQcrbGCJc8/F4KrzgzPyxm5OtwNEozny+j&#10;48+HuPh9zXxfY5fNGaFz0KDILh8TPpr+qD0199g2sxQVKmElYpc89sez2C0WbCupZrMMwpQ7ES/t&#10;rZPJdWI59dldey+82/Z5xIRcUT/sYvKq3TtssrQ0W0bSdZ6FxHPH6pZ/bIjcrtttllbQ/j2jnnfu&#10;9AkAAP//AwBQSwMEFAAGAAgAAAAhAIJdExTbAAAACQEAAA8AAABkcnMvZG93bnJldi54bWxMj8FO&#10;wzAQRO9I/IO1SNxam6JCCHEqQIULpxbE2Y23tkW8jmw3DX+Pc4Lb7s5o9k2zmXzPRozJBZJwsxTA&#10;kLqgHRkJnx+viwpYyoq06gOhhB9MsGkvLxpV63CmHY77bFgJoVQrCTbnoeY8dRa9SsswIBXtGKJX&#10;uazRcB3VuYT7nq+EuONeOSofrBrwxWL3vT95Cdtn82C6SkW7rbRz4/R1fDdvUl5fTU+PwDJO+c8M&#10;M35Bh7YwHcKJdGK9hPvVujglLNa3pUIxVGIeDvNFAG8b/r9B+wsAAP//AwBQSwECLQAUAAYACAAA&#10;ACEAtoM4kv4AAADhAQAAEwAAAAAAAAAAAAAAAAAAAAAAW0NvbnRlbnRfVHlwZXNdLnhtbFBLAQIt&#10;ABQABgAIAAAAIQA4/SH/1gAAAJQBAAALAAAAAAAAAAAAAAAAAC8BAABfcmVscy8ucmVsc1BLAQIt&#10;ABQABgAIAAAAIQABD5RvlAIAALsFAAAOAAAAAAAAAAAAAAAAAC4CAABkcnMvZTJvRG9jLnhtbFBL&#10;AQItABQABgAIAAAAIQCCXRMU2wAAAAkBAAAPAAAAAAAAAAAAAAAAAO4EAABkcnMvZG93bnJldi54&#10;bWxQSwUGAAAAAAQABADzAAAA9gUAAAAA&#10;" fillcolor="white [3201]" strokeweight=".5pt">
                <v:textbox>
                  <w:txbxContent>
                    <w:p w:rsidR="00503C53" w:rsidRDefault="00503C53" w:rsidP="00503C53">
                      <w:proofErr w:type="gramStart"/>
                      <w:r>
                        <w:t>Table 1.</w:t>
                      </w:r>
                      <w:proofErr w:type="gramEnd"/>
                      <w:r>
                        <w:t xml:space="preserve"> 2014-2015 Enrollment in Math Courses by Instructional Format 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503C53" w:rsidRDefault="00503C53" w:rsidP="00503C53">
      <w:pPr>
        <w:spacing w:line="276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6EDED" wp14:editId="59725837">
                <wp:simplePos x="0" y="0"/>
                <wp:positionH relativeFrom="column">
                  <wp:posOffset>461064</wp:posOffset>
                </wp:positionH>
                <wp:positionV relativeFrom="paragraph">
                  <wp:posOffset>80397</wp:posOffset>
                </wp:positionV>
                <wp:extent cx="5200153" cy="309880"/>
                <wp:effectExtent l="0" t="0" r="1968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153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3C53" w:rsidRDefault="00503C53" w:rsidP="00503C53">
                            <w:r>
                              <w:t xml:space="preserve">Table 2.  2014-2015 Enrollment in Physical Science Courses by Instructional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6.3pt;margin-top:6.35pt;width:409.4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YWXwIAAMkEAAAOAAAAZHJzL2Uyb0RvYy54bWysVNtuGjEQfa/Uf7D83iyXkBLEEtFEVJWi&#10;JBJEeTZeL6zq9bi2YZd+fY/NJSTpU1UejOfiMzNnZnZ809aabZXzFZmcdy86nCkjqajMKufPi9mX&#10;IWc+CFMITUblfKc8v5l8/jRu7Ej1aE26UI4BxPhRY3O+DsGOsszLtaqFvyCrDIwluVoEiG6VFU40&#10;QK911ut0rrKGXGEdSeU9tHd7I58k/LJUMjyWpVeB6Zwjt5BOl85lPLPJWIxWTth1JQ9piH/IohaV&#10;QdAT1J0Igm1c9QGqrqQjT2W4kFRnVJaVVKkGVNPtvKtmvhZWpVpAjrcnmvz/g5UP2yfHqgK9G3Bm&#10;RI0eLVQb2DdqGVTgp7F+BLe5hWNooYfvUe+hjGW3pavjPwpisIPp3YndiCahHKBf3UGfMwlbv3M9&#10;HCb6s9fX1vnwXVHN4iXnDt1LpIrtvQ/IBK5HlxjMk66KWaV1Enb+Vju2FWg05qOghjMtfIAy57P0&#10;i0kD4s0zbViT86v+oJMivbHFWCfMpRby50cE4GkT46s0bIc8I2V7auIttMs2Udw70rakYgc2He3n&#10;0Vs5qxDsHvk+CYcBBIFYqvCIo9SEDOlw42xN7vff9NEfcwErZw0GOuf+10Y4BRp+GEzMdffyMm5A&#10;Ei4HX3sQ3LlleW4xm/qWQGUX62tlukb/oI/X0lH9gt2bxqgwCSMRO+fheL0N+zXD7ko1nSYnzLwV&#10;4d7MrYzQkbdI8qJ9Ec4euh4wLw90HH0xetf8vW98aWi6CVRWaTIiz3tW0eMoYF9Stw+7HRfyXE5e&#10;r1+gyR8AAAD//wMAUEsDBBQABgAIAAAAIQBBH+x83AAAAAgBAAAPAAAAZHJzL2Rvd25yZXYueG1s&#10;TI9BT8MwDIXvSPyHyEjcWLpKdF1pOiEkjghRdoBblpg20DhVk3Vlvx5zgpNlv6fn79W7xQ9ixim6&#10;QArWqwwEkgnWUadg//p4U4KISZPVQyBU8I0Rds3lRa0rG070gnObOsEhFCutoE9prKSMpkev4yqM&#10;SKx9hMnrxOvUSTvpE4f7QeZZVkivHfGHXo/40KP5ao9egaW3QObdPZ0dtcZtz8/lp5mVur5a7u9A&#10;JFzSnxl+8RkdGmY6hCPZKAYFm7xgJ9/zDQjWy+36FsRBQcFTNrX8X6D5AQAA//8DAFBLAQItABQA&#10;BgAIAAAAIQC2gziS/gAAAOEBAAATAAAAAAAAAAAAAAAAAAAAAABbQ29udGVudF9UeXBlc10ueG1s&#10;UEsBAi0AFAAGAAgAAAAhADj9If/WAAAAlAEAAAsAAAAAAAAAAAAAAAAALwEAAF9yZWxzLy5yZWxz&#10;UEsBAi0AFAAGAAgAAAAhADK4phZfAgAAyQQAAA4AAAAAAAAAAAAAAAAALgIAAGRycy9lMm9Eb2Mu&#10;eG1sUEsBAi0AFAAGAAgAAAAhAEEf7HzcAAAACAEAAA8AAAAAAAAAAAAAAAAAuQQAAGRycy9kb3du&#10;cmV2LnhtbFBLBQYAAAAABAAEAPMAAADCBQAAAAA=&#10;" fillcolor="window" strokeweight=".5pt">
                <v:textbox>
                  <w:txbxContent>
                    <w:p w:rsidR="00503C53" w:rsidRDefault="00503C53" w:rsidP="00503C53">
                      <w:proofErr w:type="gramStart"/>
                      <w:r>
                        <w:t>Table 2.</w:t>
                      </w:r>
                      <w:proofErr w:type="gramEnd"/>
                      <w:r>
                        <w:t xml:space="preserve">  2014-2015 Enrollment in Physical Science Courses by Instructional Format </w:t>
                      </w:r>
                    </w:p>
                  </w:txbxContent>
                </v:textbox>
              </v:shape>
            </w:pict>
          </mc:Fallback>
        </mc:AlternateContent>
      </w:r>
    </w:p>
    <w:p w:rsidR="00503C53" w:rsidRDefault="00503C53" w:rsidP="00503C53">
      <w:pPr>
        <w:spacing w:line="276" w:lineRule="auto"/>
        <w:ind w:firstLine="720"/>
      </w:pPr>
    </w:p>
    <w:p w:rsidR="00503C53" w:rsidRDefault="00503C53" w:rsidP="00503C53">
      <w:pPr>
        <w:spacing w:line="276" w:lineRule="auto"/>
        <w:ind w:firstLine="720"/>
      </w:pPr>
    </w:p>
    <w:p w:rsidR="00503C53" w:rsidRDefault="00503C53" w:rsidP="00503C53">
      <w:pPr>
        <w:spacing w:line="276" w:lineRule="auto"/>
        <w:ind w:firstLine="720"/>
      </w:pPr>
      <w:r w:rsidRPr="00277020">
        <w:rPr>
          <w:noProof/>
        </w:rPr>
        <w:drawing>
          <wp:inline distT="0" distB="0" distL="0" distR="0" wp14:anchorId="6D090B58" wp14:editId="0F05298F">
            <wp:extent cx="5542280" cy="100965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53" w:rsidRDefault="00503C53" w:rsidP="00503C53">
      <w:pPr>
        <w:spacing w:line="276" w:lineRule="auto"/>
      </w:pPr>
    </w:p>
    <w:p w:rsidR="00503C53" w:rsidRDefault="00503C53" w:rsidP="00503C53">
      <w:pPr>
        <w:spacing w:line="276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0C5AC" wp14:editId="66AC1154">
                <wp:simplePos x="0" y="0"/>
                <wp:positionH relativeFrom="column">
                  <wp:posOffset>421640</wp:posOffset>
                </wp:positionH>
                <wp:positionV relativeFrom="paragraph">
                  <wp:posOffset>69850</wp:posOffset>
                </wp:positionV>
                <wp:extent cx="4643120" cy="309880"/>
                <wp:effectExtent l="0" t="0" r="241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3C53" w:rsidRDefault="00503C53" w:rsidP="00503C53">
                            <w:r>
                              <w:t xml:space="preserve">Table 3.  2014-2015 Enrollment in Chemistry Courses by Instructional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3.2pt;margin-top:5.5pt;width:365.6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a0XgIAAMkEAAAOAAAAZHJzL2Uyb0RvYy54bWysVNtu2zAMfR+wfxD0vji3ZmkQp8haZBgQ&#10;tAXSos+KLDfGZFGTlNjZ1+9IufS2p2F5UCiSOiQPSU+v2lqznXK+IpPzXqfLmTKSiso85/zxYfFl&#10;zJkPwhRCk1E53yvPr2afP00bO1F92pAulGMAMX7S2JxvQrCTLPNyo2rhO2SVgbEkV4uAq3vOCica&#10;oNc663e7o6whV1hHUnkP7c3ByGcJvyyVDHdl6VVgOufILaTTpXMdz2w2FZNnJ+ymksc0xD9kUYvK&#10;IOgZ6kYEwbau+gBVV9KRpzJ0JNUZlWUlVaoB1fS676pZbYRVqRaQ4+2ZJv//YOXt7t6xqkDvRpwZ&#10;UaNHD6oN7Bu1DCrw01g/gdvKwjG00MP3pPdQxrLb0tXxHwUx2MH0/sxuRJNQDkfDQa8Pk4Rt0L0c&#10;jxP92ctr63z4rqhmUci5Q/cSqWK39AGZwPXkEoN50lWxqLROl72/1o7tBBqN+Sio4UwLH6DM+SL9&#10;YtKAePNMG9bkfDS46KZIb2wx1hlzrYX8+REBeNrE+CoN2zHPSNmBmiiFdt0migcn2tZU7MGmo8M8&#10;eisXFYItke+9cBhAsISlCnc4Sk3IkI4SZxtyv/+mj/6YC1g5azDQOfe/tsIp0PDDYGIue8Nh3IB0&#10;GV58jZ1wry3r1xazra8JVPawvlYmMfoHfRJLR/UTdm8eo8IkjETsnIeTeB0Oa4bdlWo+T06YeSvC&#10;0qysjNCRt0jyQ/sknD12PWBebuk0+mLyrvkH3/jS0HwbqKzSZESeD6yix/GCfUndPu52XMjX9+T1&#10;8gWa/QEAAP//AwBQSwMEFAAGAAgAAAAhADYT/VjcAAAACAEAAA8AAABkcnMvZG93bnJldi54bWxM&#10;j8FOwzAQRO9I/IO1SNyoUwRpEuJUCIkjQqQc4ObaS2KI11HspqFfz3KC486MZt/U28UPYsYpukAK&#10;1qsMBJIJ1lGn4HX3eFWAiEmT1UMgVPCNEbbN+VmtKxuO9IJzmzrBJRQrraBPaaykjKZHr+MqjEjs&#10;fYTJ68Tn1Ek76SOX+0FeZ1kuvXbEH3o94kOP5qs9eAWW3gKZd/d0ctQaV56ei08zK3V5sdzfgUi4&#10;pL8w/OIzOjTMtA8HslEMCvL8hpOsr3kS+5tyk4PYK7gtC5BNLf8PaH4AAAD//wMAUEsBAi0AFAAG&#10;AAgAAAAhALaDOJL+AAAA4QEAABMAAAAAAAAAAAAAAAAAAAAAAFtDb250ZW50X1R5cGVzXS54bWxQ&#10;SwECLQAUAAYACAAAACEAOP0h/9YAAACUAQAACwAAAAAAAAAAAAAAAAAvAQAAX3JlbHMvLnJlbHNQ&#10;SwECLQAUAAYACAAAACEAF8/2tF4CAADJBAAADgAAAAAAAAAAAAAAAAAuAgAAZHJzL2Uyb0RvYy54&#10;bWxQSwECLQAUAAYACAAAACEANhP9WNwAAAAIAQAADwAAAAAAAAAAAAAAAAC4BAAAZHJzL2Rvd25y&#10;ZXYueG1sUEsFBgAAAAAEAAQA8wAAAMEFAAAAAA==&#10;" fillcolor="window" strokeweight=".5pt">
                <v:textbox>
                  <w:txbxContent>
                    <w:p w:rsidR="00503C53" w:rsidRDefault="00503C53" w:rsidP="00503C53">
                      <w:proofErr w:type="gramStart"/>
                      <w:r>
                        <w:t>Table 3.</w:t>
                      </w:r>
                      <w:proofErr w:type="gramEnd"/>
                      <w:r>
                        <w:t xml:space="preserve">  2014-2015 Enrollment in Chemistry Courses by Instructional Format </w:t>
                      </w:r>
                    </w:p>
                  </w:txbxContent>
                </v:textbox>
              </v:shape>
            </w:pict>
          </mc:Fallback>
        </mc:AlternateContent>
      </w:r>
    </w:p>
    <w:p w:rsidR="00503C53" w:rsidRDefault="00503C53" w:rsidP="00503C53">
      <w:pPr>
        <w:spacing w:line="276" w:lineRule="auto"/>
        <w:ind w:firstLine="720"/>
      </w:pPr>
    </w:p>
    <w:p w:rsidR="00503C53" w:rsidRDefault="00503C53" w:rsidP="00503C53">
      <w:pPr>
        <w:spacing w:line="276" w:lineRule="auto"/>
        <w:ind w:firstLine="720"/>
      </w:pPr>
      <w:r w:rsidRPr="00277020">
        <w:rPr>
          <w:noProof/>
        </w:rPr>
        <w:drawing>
          <wp:anchor distT="0" distB="0" distL="114300" distR="114300" simplePos="0" relativeHeight="251664384" behindDoc="1" locked="0" layoutInCell="1" allowOverlap="1" wp14:anchorId="693243A3" wp14:editId="4859BDE6">
            <wp:simplePos x="0" y="0"/>
            <wp:positionH relativeFrom="column">
              <wp:posOffset>420370</wp:posOffset>
            </wp:positionH>
            <wp:positionV relativeFrom="paragraph">
              <wp:posOffset>74295</wp:posOffset>
            </wp:positionV>
            <wp:extent cx="5694680" cy="917575"/>
            <wp:effectExtent l="0" t="0" r="1270" b="0"/>
            <wp:wrapTight wrapText="bothSides">
              <wp:wrapPolygon edited="0">
                <wp:start x="0" y="0"/>
                <wp:lineTo x="0" y="21077"/>
                <wp:lineTo x="21533" y="21077"/>
                <wp:lineTo x="2153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53" w:rsidRDefault="00503C53" w:rsidP="00503C53">
      <w:pPr>
        <w:spacing w:line="276" w:lineRule="auto"/>
        <w:rPr>
          <w:noProof/>
        </w:rPr>
      </w:pPr>
      <w:r>
        <w:rPr>
          <w:noProof/>
        </w:rPr>
        <w:tab/>
      </w:r>
    </w:p>
    <w:p w:rsidR="00503C53" w:rsidRDefault="00503C53" w:rsidP="00503C53">
      <w:pPr>
        <w:spacing w:line="276" w:lineRule="auto"/>
        <w:rPr>
          <w:noProof/>
        </w:rPr>
      </w:pPr>
    </w:p>
    <w:p w:rsidR="00503C53" w:rsidRDefault="00503C53" w:rsidP="00503C53">
      <w:pPr>
        <w:spacing w:line="276" w:lineRule="auto"/>
        <w:sectPr w:rsidR="00503C53" w:rsidSect="00503C53">
          <w:footerReference w:type="default" r:id="rId11"/>
          <w:pgSz w:w="12240" w:h="15840"/>
          <w:pgMar w:top="1440" w:right="1320" w:bottom="1200" w:left="1340" w:header="720" w:footer="1014" w:gutter="0"/>
          <w:cols w:space="720"/>
        </w:sectPr>
      </w:pPr>
      <w:r>
        <w:rPr>
          <w:noProof/>
        </w:rPr>
        <w:tab/>
      </w:r>
    </w:p>
    <w:p w:rsidR="00503C53" w:rsidRDefault="00503C53" w:rsidP="00503C53">
      <w:pPr>
        <w:pStyle w:val="BodyText"/>
        <w:spacing w:before="37" w:line="276" w:lineRule="auto"/>
        <w:ind w:left="0" w:right="1238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2DA7B4F" wp14:editId="32B94790">
            <wp:simplePos x="0" y="0"/>
            <wp:positionH relativeFrom="column">
              <wp:posOffset>102870</wp:posOffset>
            </wp:positionH>
            <wp:positionV relativeFrom="paragraph">
              <wp:posOffset>-340360</wp:posOffset>
            </wp:positionV>
            <wp:extent cx="3092450" cy="2082800"/>
            <wp:effectExtent l="0" t="0" r="12700" b="12700"/>
            <wp:wrapTight wrapText="bothSides">
              <wp:wrapPolygon edited="0">
                <wp:start x="0" y="0"/>
                <wp:lineTo x="0" y="21534"/>
                <wp:lineTo x="21556" y="21534"/>
                <wp:lineTo x="2155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8FB2C31" wp14:editId="26DB1537">
            <wp:simplePos x="0" y="0"/>
            <wp:positionH relativeFrom="column">
              <wp:posOffset>3418840</wp:posOffset>
            </wp:positionH>
            <wp:positionV relativeFrom="paragraph">
              <wp:posOffset>-340995</wp:posOffset>
            </wp:positionV>
            <wp:extent cx="3124835" cy="2082800"/>
            <wp:effectExtent l="0" t="0" r="18415" b="12700"/>
            <wp:wrapTight wrapText="bothSides">
              <wp:wrapPolygon edited="0">
                <wp:start x="0" y="0"/>
                <wp:lineTo x="0" y="21534"/>
                <wp:lineTo x="21596" y="21534"/>
                <wp:lineTo x="21596" y="0"/>
                <wp:lineTo x="0" y="0"/>
              </wp:wrapPolygon>
            </wp:wrapTight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53" w:rsidRPr="00A3357D" w:rsidRDefault="00503C53" w:rsidP="00503C53">
      <w:pPr>
        <w:pStyle w:val="BodyText"/>
        <w:spacing w:before="37" w:line="276" w:lineRule="auto"/>
        <w:ind w:left="120" w:right="1238"/>
        <w:rPr>
          <w:b/>
          <w:bCs/>
        </w:rPr>
      </w:pPr>
      <w:r w:rsidRPr="00A3357D">
        <w:rPr>
          <w:b/>
        </w:rPr>
        <w:t>Internal</w:t>
      </w:r>
      <w:r w:rsidRPr="00A3357D">
        <w:rPr>
          <w:b/>
          <w:spacing w:val="-4"/>
        </w:rPr>
        <w:t xml:space="preserve"> </w:t>
      </w:r>
      <w:r w:rsidRPr="00A3357D">
        <w:rPr>
          <w:b/>
        </w:rPr>
        <w:t>Conditions:</w:t>
      </w:r>
    </w:p>
    <w:p w:rsidR="00503C53" w:rsidRDefault="00503C53" w:rsidP="00503C5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03C53" w:rsidRDefault="00503C53" w:rsidP="00503C53">
      <w:pPr>
        <w:pStyle w:val="ListParagraph"/>
        <w:numPr>
          <w:ilvl w:val="1"/>
          <w:numId w:val="1"/>
        </w:numPr>
        <w:tabs>
          <w:tab w:val="left" w:pos="1181"/>
        </w:tabs>
        <w:rPr>
          <w:rFonts w:ascii="Calibri" w:eastAsia="Calibri" w:hAnsi="Calibri" w:cs="Calibri"/>
        </w:rPr>
      </w:pPr>
      <w:r>
        <w:rPr>
          <w:rFonts w:ascii="Calibri"/>
          <w:b/>
        </w:rPr>
        <w:t>Technology</w:t>
      </w:r>
    </w:p>
    <w:p w:rsidR="00503C53" w:rsidRDefault="00296507" w:rsidP="00503C53">
      <w:pPr>
        <w:pStyle w:val="BodyText"/>
        <w:spacing w:before="41" w:line="276" w:lineRule="auto"/>
        <w:ind w:left="1180" w:right="143"/>
      </w:pPr>
      <w:r>
        <w:t>All faculty received</w:t>
      </w:r>
      <w:r w:rsidR="00503C53">
        <w:t xml:space="preserve"> new </w:t>
      </w:r>
      <w:r w:rsidR="00503C53" w:rsidRPr="00C441CC">
        <w:rPr>
          <w:noProof/>
        </w:rPr>
        <w:t>computers</w:t>
      </w:r>
      <w:r w:rsidRPr="00C441CC">
        <w:rPr>
          <w:noProof/>
        </w:rPr>
        <w:t xml:space="preserve"> by</w:t>
      </w:r>
      <w:r>
        <w:t xml:space="preserve"> the end of 2013-2015 the planning cycle</w:t>
      </w:r>
      <w:r w:rsidR="00503C53">
        <w:t>. T</w:t>
      </w:r>
      <w:r>
        <w:t>he only expectation is that the equipment be</w:t>
      </w:r>
      <w:r w:rsidR="00503C53">
        <w:t xml:space="preserve"> maintained with the appropriate upgrades when necessary.  </w:t>
      </w: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pStyle w:val="Heading1"/>
        <w:numPr>
          <w:ilvl w:val="1"/>
          <w:numId w:val="1"/>
        </w:numPr>
        <w:tabs>
          <w:tab w:val="left" w:pos="1181"/>
        </w:tabs>
        <w:rPr>
          <w:b w:val="0"/>
          <w:bCs w:val="0"/>
        </w:rPr>
      </w:pPr>
      <w:r>
        <w:t>Budget</w:t>
      </w:r>
    </w:p>
    <w:p w:rsidR="00503C53" w:rsidRDefault="00503C53" w:rsidP="00503C53">
      <w:pPr>
        <w:pStyle w:val="BodyText"/>
        <w:spacing w:before="41"/>
        <w:ind w:left="1180" w:right="143"/>
      </w:pPr>
      <w:r>
        <w:t>The budget for classroom and office supplies for the department is currently</w:t>
      </w:r>
      <w:r>
        <w:rPr>
          <w:spacing w:val="-31"/>
        </w:rPr>
        <w:t xml:space="preserve"> </w:t>
      </w:r>
      <w:r>
        <w:t>sufficient.</w:t>
      </w:r>
    </w:p>
    <w:p w:rsidR="00503C53" w:rsidRDefault="00503C53" w:rsidP="00503C53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503C53" w:rsidRDefault="00503C53" w:rsidP="00503C53">
      <w:pPr>
        <w:pStyle w:val="Heading1"/>
        <w:numPr>
          <w:ilvl w:val="1"/>
          <w:numId w:val="1"/>
        </w:numPr>
        <w:tabs>
          <w:tab w:val="left" w:pos="1181"/>
        </w:tabs>
        <w:rPr>
          <w:b w:val="0"/>
          <w:bCs w:val="0"/>
        </w:rPr>
      </w:pPr>
      <w:r>
        <w:t>Staffing</w:t>
      </w:r>
    </w:p>
    <w:p w:rsidR="00503C53" w:rsidRDefault="00C441CC" w:rsidP="00503C53">
      <w:pPr>
        <w:pStyle w:val="BodyText"/>
        <w:spacing w:before="41" w:line="276" w:lineRule="auto"/>
        <w:ind w:left="1180" w:right="523"/>
      </w:pPr>
      <w:r>
        <w:rPr>
          <w:noProof/>
        </w:rPr>
        <w:t>T</w:t>
      </w:r>
      <w:r w:rsidR="00503C53">
        <w:t xml:space="preserve">he Math, </w:t>
      </w:r>
      <w:r w:rsidR="00503C53" w:rsidRPr="00C441CC">
        <w:rPr>
          <w:noProof/>
        </w:rPr>
        <w:t>Engineering</w:t>
      </w:r>
      <w:r>
        <w:rPr>
          <w:noProof/>
        </w:rPr>
        <w:t>,</w:t>
      </w:r>
      <w:r w:rsidR="00503C53">
        <w:t xml:space="preserve"> and Physical Science </w:t>
      </w:r>
      <w:r>
        <w:rPr>
          <w:noProof/>
        </w:rPr>
        <w:t>D</w:t>
      </w:r>
      <w:r w:rsidR="00503C53" w:rsidRPr="00C441CC">
        <w:rPr>
          <w:noProof/>
        </w:rPr>
        <w:t>epartment</w:t>
      </w:r>
      <w:r w:rsidR="00503C53">
        <w:t xml:space="preserve"> employs six </w:t>
      </w:r>
      <w:r w:rsidR="00503C53" w:rsidRPr="00C441CC">
        <w:rPr>
          <w:noProof/>
        </w:rPr>
        <w:t>full</w:t>
      </w:r>
      <w:r>
        <w:rPr>
          <w:noProof/>
        </w:rPr>
        <w:t>-</w:t>
      </w:r>
      <w:r w:rsidR="00503C53" w:rsidRPr="00C441CC">
        <w:rPr>
          <w:noProof/>
        </w:rPr>
        <w:t>time</w:t>
      </w:r>
      <w:r w:rsidR="00503C53">
        <w:t xml:space="preserve"> instructors that cover both math and chemistry courses.  </w:t>
      </w:r>
      <w:r w:rsidR="007356D6">
        <w:t xml:space="preserve">The department also shares and office manager with the Liberal Arts Department. </w:t>
      </w:r>
      <w:r w:rsidR="00503C53">
        <w:t xml:space="preserve">On average, the department employs eighteen adjunct instructors during the fall and spring semesters and nine during the summer.  Both chemistry and math maintain a faculty ratio in which </w:t>
      </w:r>
      <w:r w:rsidR="00503C53" w:rsidRPr="00C441CC">
        <w:rPr>
          <w:noProof/>
        </w:rPr>
        <w:t>full</w:t>
      </w:r>
      <w:r>
        <w:rPr>
          <w:noProof/>
        </w:rPr>
        <w:t>-</w:t>
      </w:r>
      <w:r w:rsidR="00503C53" w:rsidRPr="00C441CC">
        <w:rPr>
          <w:noProof/>
        </w:rPr>
        <w:t>time</w:t>
      </w:r>
      <w:r w:rsidR="00503C53">
        <w:t xml:space="preserve"> instructors </w:t>
      </w:r>
      <w:r w:rsidR="00503C53" w:rsidRPr="00C441CC">
        <w:rPr>
          <w:noProof/>
        </w:rPr>
        <w:t>are assigned</w:t>
      </w:r>
      <w:r w:rsidR="00503C53">
        <w:t xml:space="preserve"> to more than half of the courses</w:t>
      </w:r>
      <w:r w:rsidR="00296507">
        <w:t xml:space="preserve"> sections</w:t>
      </w:r>
      <w:r w:rsidR="00503C53">
        <w:t xml:space="preserve"> within the department</w:t>
      </w:r>
      <w:r w:rsidR="00296507">
        <w:t xml:space="preserve"> </w:t>
      </w:r>
      <w:r w:rsidR="00296507" w:rsidRPr="00296507">
        <w:rPr>
          <w:b/>
        </w:rPr>
        <w:t>(Tables 4 and 5)</w:t>
      </w:r>
      <w:r w:rsidR="00503C53">
        <w:t>. However,</w:t>
      </w:r>
      <w:r w:rsidR="00296507">
        <w:t xml:space="preserve"> physical science course sections </w:t>
      </w:r>
      <w:r w:rsidR="00296507" w:rsidRPr="00296507">
        <w:rPr>
          <w:b/>
        </w:rPr>
        <w:t>(Table 6)</w:t>
      </w:r>
      <w:r w:rsidR="00503C53">
        <w:t xml:space="preserve"> are assigned to more adjunct instructors than full-time.  If this trend continues</w:t>
      </w:r>
      <w:r w:rsidR="00296507">
        <w:t xml:space="preserve">, it may be prudent to consider shifting more </w:t>
      </w:r>
      <w:r w:rsidR="00296507" w:rsidRPr="00C441CC">
        <w:rPr>
          <w:noProof/>
        </w:rPr>
        <w:t>sections</w:t>
      </w:r>
      <w:r w:rsidR="00296507">
        <w:t xml:space="preserve"> to qualified full-time faculty</w:t>
      </w:r>
      <w:r w:rsidR="00503C53">
        <w:t>.</w:t>
      </w: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2B4BC" wp14:editId="2E5C5156">
                <wp:simplePos x="0" y="0"/>
                <wp:positionH relativeFrom="column">
                  <wp:posOffset>-247015</wp:posOffset>
                </wp:positionH>
                <wp:positionV relativeFrom="paragraph">
                  <wp:posOffset>42545</wp:posOffset>
                </wp:positionV>
                <wp:extent cx="5327015" cy="238125"/>
                <wp:effectExtent l="0" t="0" r="698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53" w:rsidRPr="000D28BC" w:rsidRDefault="00503C53" w:rsidP="00503C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4</w:t>
                            </w:r>
                            <w:r w:rsidRPr="000D2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Pr="000D2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Credit Hour Production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ased on Faculty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9.45pt;margin-top:3.35pt;width:419.4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xrjwIAAJMFAAAOAAAAZHJzL2Uyb0RvYy54bWysVFFPGzEMfp+0/xDlfVx7tMAqrqgDMU1C&#10;gAYTz2kuodGSOEvS3nW/Hid313aMF6a93Dn2Zzt2Pvv8ojWabIQPCmxFx0cjSoTlUCv7XNEfj9ef&#10;zigJkdmaabCiolsR6MX844fzxs1ECSvQtfAEg9gwa1xFVzG6WVEEvhKGhSNwwqJRgjcs4tE/F7Vn&#10;DUY3uihHo5OiAV87D1yEgNqrzkjnOb6Ugsc7KYOIRFcU7xbz1+fvMn2L+TmbPXvmVor312D/cAvD&#10;lMWku1BXLDKy9uqvUEZxDwFkPOJgCpBScZFrwGrGo1fVPKyYE7kWbE5wuzaF/xeW327uPVF1Rcsx&#10;JZYZfKNH0UbyBVqCKuxP48IMYQ8OgbFFPb7zoA+oTGW30pv0x4II2rHT2113UzSOyulxeToaTynh&#10;aCuPz8blNIUp9t7Oh/hVgCFJqKjH18tNZZubEDvoAEnJAmhVXyut8yExRlxqTzYM31rHfEcM/gdK&#10;W9JU9OR4OsqBLST3LrK2KYzInOnTpcq7CrMUt1okjLbfhcSe5ULfyM04F3aXP6MTSmKq9zj2+P2t&#10;3uPc1YEeOTPYuHM2yoLP1ech27es/jm0THZ4fJuDupMY22WbyTIZCLCEeou88NBNVnD8WuHj3bAQ&#10;75nHUUIq4HqId/iRGrD50EuUrMD/fkuf8MhwtFLS4GhWNPxaMy8o0d8scv/zeDJJs5wPk+lpiQd/&#10;aFkeWuzaXAIyAumNt8tiwkc9iNKDecItskhZ0cQsx9wVjYN4GbuFgVuIi8Uig3B6HYs39sHxFDp1&#10;OVHzsX1i3vX8jcj8WxiGmM1e0bjDJk8Li3UEqTLHU5+7rvb9x8nPU9JvqbRaDs8Ztd+l8xcAAAD/&#10;/wMAUEsDBBQABgAIAAAAIQBiqwFp4AAAAAgBAAAPAAAAZHJzL2Rvd25yZXYueG1sTI9BT4NAFITv&#10;Jv6HzTPxYtrFUltEHo0xahNvLVXjbcuuQGTfEnYL+O99nvQ4mcnMN9lmsq0YTO8bRwjX8wiEodLp&#10;hiqEQ/E0S0D4oEir1pFB+DYeNvn5WaZS7UbamWEfKsEl5FOFUIfQpVL6sjZW+bnrDLH36XqrAsu+&#10;krpXI5fbVi6iaCWtaogXatWZh9qUX/uTRfi4qt5f/PT8OsY3cfe4HYr1my4QLy+m+zsQwUzhLwy/&#10;+IwOOTMd3Ym0Fy3CLE5uOYqwWoNgP4ki/nZEWC4XIPNM/j+Q/wAAAP//AwBQSwECLQAUAAYACAAA&#10;ACEAtoM4kv4AAADhAQAAEwAAAAAAAAAAAAAAAAAAAAAAW0NvbnRlbnRfVHlwZXNdLnhtbFBLAQIt&#10;ABQABgAIAAAAIQA4/SH/1gAAAJQBAAALAAAAAAAAAAAAAAAAAC8BAABfcmVscy8ucmVsc1BLAQIt&#10;ABQABgAIAAAAIQC9STxrjwIAAJMFAAAOAAAAAAAAAAAAAAAAAC4CAABkcnMvZTJvRG9jLnhtbFBL&#10;AQItABQABgAIAAAAIQBiqwFp4AAAAAgBAAAPAAAAAAAAAAAAAAAAAOkEAABkcnMvZG93bnJldi54&#10;bWxQSwUGAAAAAAQABADzAAAA9gUAAAAA&#10;" fillcolor="white [3201]" stroked="f" strokeweight=".5pt">
                <v:textbox>
                  <w:txbxContent>
                    <w:p w:rsidR="00503C53" w:rsidRPr="000D28BC" w:rsidRDefault="00503C53" w:rsidP="00503C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Table 4</w:t>
                      </w:r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Math </w:t>
                      </w:r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Credit Hour Production 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ased on Faculty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</w:p>
    <w:tbl>
      <w:tblPr>
        <w:tblStyle w:val="TableGrid"/>
        <w:tblpPr w:leftFromText="180" w:rightFromText="180" w:vertAnchor="text" w:horzAnchor="margin" w:tblpXSpec="center" w:tblpY="145"/>
        <w:tblW w:w="11149" w:type="dxa"/>
        <w:tblLayout w:type="fixed"/>
        <w:tblLook w:val="04A0" w:firstRow="1" w:lastRow="0" w:firstColumn="1" w:lastColumn="0" w:noHBand="0" w:noVBand="1"/>
      </w:tblPr>
      <w:tblGrid>
        <w:gridCol w:w="1098"/>
        <w:gridCol w:w="1184"/>
        <w:gridCol w:w="1268"/>
        <w:gridCol w:w="1186"/>
        <w:gridCol w:w="926"/>
        <w:gridCol w:w="980"/>
        <w:gridCol w:w="1191"/>
        <w:gridCol w:w="896"/>
        <w:gridCol w:w="1209"/>
        <w:gridCol w:w="1211"/>
      </w:tblGrid>
      <w:tr w:rsidR="00503C53" w:rsidTr="002971EE">
        <w:trPr>
          <w:trHeight w:val="230"/>
        </w:trPr>
        <w:tc>
          <w:tcPr>
            <w:tcW w:w="4736" w:type="dxa"/>
            <w:gridSpan w:val="4"/>
            <w:shd w:val="clear" w:color="auto" w:fill="BFBFBF" w:themeFill="background1" w:themeFillShade="BF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28BC">
              <w:rPr>
                <w:rFonts w:ascii="Times New Roman" w:hAnsi="Times New Roman" w:cs="Times New Roman"/>
                <w:b/>
                <w:i/>
              </w:rPr>
              <w:t>Full-Time</w:t>
            </w:r>
          </w:p>
        </w:tc>
        <w:tc>
          <w:tcPr>
            <w:tcW w:w="3993" w:type="dxa"/>
            <w:gridSpan w:val="4"/>
            <w:shd w:val="clear" w:color="auto" w:fill="BFBFBF" w:themeFill="background1" w:themeFillShade="BF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Part-Time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03C53" w:rsidTr="002971EE">
        <w:trPr>
          <w:trHeight w:val="800"/>
        </w:trPr>
        <w:tc>
          <w:tcPr>
            <w:tcW w:w="109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Sections</w:t>
            </w:r>
          </w:p>
        </w:tc>
        <w:tc>
          <w:tcPr>
            <w:tcW w:w="1184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Enrolled</w:t>
            </w:r>
          </w:p>
        </w:tc>
        <w:tc>
          <w:tcPr>
            <w:tcW w:w="126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Credit Hr. Production</w:t>
            </w:r>
          </w:p>
        </w:tc>
        <w:tc>
          <w:tcPr>
            <w:tcW w:w="1186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Credit Hr, %</w:t>
            </w:r>
          </w:p>
        </w:tc>
        <w:tc>
          <w:tcPr>
            <w:tcW w:w="926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Sections</w:t>
            </w:r>
          </w:p>
        </w:tc>
        <w:tc>
          <w:tcPr>
            <w:tcW w:w="980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Enrolled</w:t>
            </w:r>
          </w:p>
        </w:tc>
        <w:tc>
          <w:tcPr>
            <w:tcW w:w="1191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Credit Hr. Production</w:t>
            </w:r>
          </w:p>
        </w:tc>
        <w:tc>
          <w:tcPr>
            <w:tcW w:w="896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Credit Hr. %</w:t>
            </w:r>
          </w:p>
        </w:tc>
        <w:tc>
          <w:tcPr>
            <w:tcW w:w="1209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Sections</w:t>
            </w:r>
          </w:p>
        </w:tc>
        <w:tc>
          <w:tcPr>
            <w:tcW w:w="1211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Total Credit Hr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Production</w:t>
            </w:r>
          </w:p>
        </w:tc>
      </w:tr>
      <w:tr w:rsidR="00503C53" w:rsidTr="002971EE">
        <w:trPr>
          <w:trHeight w:val="443"/>
        </w:trPr>
        <w:tc>
          <w:tcPr>
            <w:tcW w:w="109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0D28B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84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2,816</w:t>
            </w:r>
          </w:p>
        </w:tc>
        <w:tc>
          <w:tcPr>
            <w:tcW w:w="126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8,651</w:t>
            </w:r>
          </w:p>
        </w:tc>
        <w:tc>
          <w:tcPr>
            <w:tcW w:w="1186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66.8</w:t>
            </w:r>
            <w:r w:rsidRPr="000D28BC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926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80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1,419</w:t>
            </w:r>
          </w:p>
        </w:tc>
        <w:tc>
          <w:tcPr>
            <w:tcW w:w="1191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4,307</w:t>
            </w:r>
          </w:p>
        </w:tc>
        <w:tc>
          <w:tcPr>
            <w:tcW w:w="896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33.2%</w:t>
            </w:r>
          </w:p>
        </w:tc>
        <w:tc>
          <w:tcPr>
            <w:tcW w:w="1209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211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12,958</w:t>
            </w:r>
          </w:p>
        </w:tc>
      </w:tr>
    </w:tbl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Spec="center" w:tblpY="145"/>
        <w:tblW w:w="11149" w:type="dxa"/>
        <w:tblLayout w:type="fixed"/>
        <w:tblLook w:val="04A0" w:firstRow="1" w:lastRow="0" w:firstColumn="1" w:lastColumn="0" w:noHBand="0" w:noVBand="1"/>
      </w:tblPr>
      <w:tblGrid>
        <w:gridCol w:w="1098"/>
        <w:gridCol w:w="1184"/>
        <w:gridCol w:w="1268"/>
        <w:gridCol w:w="1186"/>
        <w:gridCol w:w="926"/>
        <w:gridCol w:w="980"/>
        <w:gridCol w:w="1191"/>
        <w:gridCol w:w="896"/>
        <w:gridCol w:w="1209"/>
        <w:gridCol w:w="1211"/>
      </w:tblGrid>
      <w:tr w:rsidR="00503C53" w:rsidTr="002971EE">
        <w:trPr>
          <w:trHeight w:val="230"/>
        </w:trPr>
        <w:tc>
          <w:tcPr>
            <w:tcW w:w="4737" w:type="dxa"/>
            <w:gridSpan w:val="4"/>
            <w:shd w:val="clear" w:color="auto" w:fill="BFBFBF" w:themeFill="background1" w:themeFillShade="BF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28BC">
              <w:rPr>
                <w:rFonts w:ascii="Times New Roman" w:hAnsi="Times New Roman" w:cs="Times New Roman"/>
                <w:b/>
                <w:i/>
              </w:rPr>
              <w:t>Full-Time</w:t>
            </w:r>
          </w:p>
        </w:tc>
        <w:tc>
          <w:tcPr>
            <w:tcW w:w="3993" w:type="dxa"/>
            <w:gridSpan w:val="4"/>
            <w:shd w:val="clear" w:color="auto" w:fill="BFBFBF" w:themeFill="background1" w:themeFillShade="BF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Part-Time</w:t>
            </w:r>
          </w:p>
        </w:tc>
        <w:tc>
          <w:tcPr>
            <w:tcW w:w="2419" w:type="dxa"/>
            <w:gridSpan w:val="2"/>
            <w:shd w:val="clear" w:color="auto" w:fill="BFBFBF" w:themeFill="background1" w:themeFillShade="BF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03C53" w:rsidTr="002971EE">
        <w:trPr>
          <w:trHeight w:val="800"/>
        </w:trPr>
        <w:tc>
          <w:tcPr>
            <w:tcW w:w="1099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Sections</w:t>
            </w:r>
          </w:p>
        </w:tc>
        <w:tc>
          <w:tcPr>
            <w:tcW w:w="1184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Enrolled</w:t>
            </w:r>
          </w:p>
        </w:tc>
        <w:tc>
          <w:tcPr>
            <w:tcW w:w="126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Credit Hr. Production</w:t>
            </w:r>
          </w:p>
        </w:tc>
        <w:tc>
          <w:tcPr>
            <w:tcW w:w="1185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Credit Hr, %</w:t>
            </w:r>
          </w:p>
        </w:tc>
        <w:tc>
          <w:tcPr>
            <w:tcW w:w="926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Sections</w:t>
            </w:r>
          </w:p>
        </w:tc>
        <w:tc>
          <w:tcPr>
            <w:tcW w:w="980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Enrolled</w:t>
            </w:r>
          </w:p>
        </w:tc>
        <w:tc>
          <w:tcPr>
            <w:tcW w:w="1191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Credit Hr. Production</w:t>
            </w:r>
          </w:p>
        </w:tc>
        <w:tc>
          <w:tcPr>
            <w:tcW w:w="896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Credit Hr. %</w:t>
            </w:r>
          </w:p>
        </w:tc>
        <w:tc>
          <w:tcPr>
            <w:tcW w:w="1209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Sections</w:t>
            </w:r>
          </w:p>
        </w:tc>
        <w:tc>
          <w:tcPr>
            <w:tcW w:w="1211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Total Credit Hr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Production</w:t>
            </w:r>
          </w:p>
        </w:tc>
      </w:tr>
      <w:tr w:rsidR="00503C53" w:rsidTr="002971EE">
        <w:trPr>
          <w:trHeight w:val="443"/>
        </w:trPr>
        <w:tc>
          <w:tcPr>
            <w:tcW w:w="1099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184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224</w:t>
            </w:r>
          </w:p>
        </w:tc>
        <w:tc>
          <w:tcPr>
            <w:tcW w:w="126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896</w:t>
            </w:r>
          </w:p>
        </w:tc>
        <w:tc>
          <w:tcPr>
            <w:tcW w:w="1185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74.7</w:t>
            </w:r>
            <w:r w:rsidRPr="000D28BC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926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0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91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896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25.3%</w:t>
            </w:r>
          </w:p>
        </w:tc>
        <w:tc>
          <w:tcPr>
            <w:tcW w:w="1209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11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</w:tr>
    </w:tbl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93F3A" wp14:editId="0A4B7D0C">
                <wp:simplePos x="0" y="0"/>
                <wp:positionH relativeFrom="column">
                  <wp:posOffset>-445383</wp:posOffset>
                </wp:positionH>
                <wp:positionV relativeFrom="paragraph">
                  <wp:posOffset>-147624</wp:posOffset>
                </wp:positionV>
                <wp:extent cx="5772646" cy="2381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6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C53" w:rsidRPr="000D28BC" w:rsidRDefault="00503C53" w:rsidP="00503C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5</w:t>
                            </w:r>
                            <w:r w:rsidRPr="000D2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2014-2015 Chemistry </w:t>
                            </w:r>
                            <w:r w:rsidRPr="000D2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Credit Hour Production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ased on Faculty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35.05pt;margin-top:-11.6pt;width:454.5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jHVAIAAKEEAAAOAAAAZHJzL2Uyb0RvYy54bWysVE1vGjEQvVfqf7B8bxaWj6SIJaKJqCpF&#10;SaRQ5Wy8XljJ63Ftwy799X32QpKmPVXlYObLM543b3Z+3TWaHZTzNZmCDy8GnCkjqazNtuDf16tP&#10;V5z5IEwpNBlV8KPy/Hrx8cO8tTOV0450qRxDEuNnrS34LgQ7yzIvd6oR/oKsMnBW5BoRoLptVjrR&#10;Inujs3wwmGYtudI6ksp7WG97J1+k/FWlZHioKq8C0wXH20I6XTo38cwWczHbOmF3tTw9Q/zDKxpR&#10;GxR9SXUrgmB7V/+RqqmlI09VuJDUZFRVtVSpB3QzHLzr5mknrEq9ABxvX2Dy/y+tvD88OlaXBc9H&#10;nBnRYEZr1QX2hToGE/BprZ8h7MkiMHSwY85nu4cxtt1Vron/aIjBD6SPL+jGbBLGyeVlPh1POZPw&#10;5aOrYT6JabLX29b58FVRw6JQcIfpJVDF4c6HPvQcEot50nW5qrVOytHfaMcOAoMGP0pqOdPCBxgL&#10;vkq/U7XfrmnD2oJPR5NBqmQo5utLaRPzqkSiU/0IRd9ylEK36RJ0qY9o2VB5BEqOep55K1c1WrnD&#10;Ox6FA7EADJYlPOCoNKEynSTOduR+/s0e4zFveDlrQdSC+x974RTa+2bAhM/D8TgyOynjyWUOxb31&#10;bN56zL65IUA0xFpamcQYH/RZrBw1z9ipZawKlzAStQsezuJN6NcHOynVcpmCwGUrwp15sjKmjrjF&#10;Qa27Z+HsaZoBPLinM6XF7N1Q+9h409ByH6iq08RfUQVTooI9SJw57WxctLd6inr9six+AQAA//8D&#10;AFBLAwQUAAYACAAAACEA3Fs13eEAAAAKAQAADwAAAGRycy9kb3ducmV2LnhtbEyPwUrDQBCG74Lv&#10;sIzgrd00Ea0xmyKiaKGhGgWv22RMotnZsLttYp/e8aS3Gebjn+/PVpPpxQGd7ywpWMwjEEiVrTtq&#10;FLy9PsyWIHzQVOveEir4Rg+r/PQk02ltR3rBQxkawSHkU62gDWFIpfRVi0b7uR2Q+PZhndGBV9fI&#10;2umRw00v4yi6lEZ3xB9aPeBdi9VXuTcK3sfy0W3X68/n4ak4bo9lscH7Qqnzs+n2BkTAKfzB8KvP&#10;6pCz087uqfaiVzC7ihaM8hAnMQgmlsk1t9sxepGAzDP5v0L+AwAA//8DAFBLAQItABQABgAIAAAA&#10;IQC2gziS/gAAAOEBAAATAAAAAAAAAAAAAAAAAAAAAABbQ29udGVudF9UeXBlc10ueG1sUEsBAi0A&#10;FAAGAAgAAAAhADj9If/WAAAAlAEAAAsAAAAAAAAAAAAAAAAALwEAAF9yZWxzLy5yZWxzUEsBAi0A&#10;FAAGAAgAAAAhAIS+OMdUAgAAoQQAAA4AAAAAAAAAAAAAAAAALgIAAGRycy9lMm9Eb2MueG1sUEsB&#10;Ai0AFAAGAAgAAAAhANxbNd3hAAAACgEAAA8AAAAAAAAAAAAAAAAArgQAAGRycy9kb3ducmV2Lnht&#10;bFBLBQYAAAAABAAEAPMAAAC8BQAAAAA=&#10;" fillcolor="window" stroked="f" strokeweight=".5pt">
                <v:textbox>
                  <w:txbxContent>
                    <w:p w:rsidR="00503C53" w:rsidRPr="000D28BC" w:rsidRDefault="00503C53" w:rsidP="00503C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Table 5</w:t>
                      </w:r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2014-2015 Chemistry </w:t>
                      </w:r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Credit Hour Production 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ased on Faculty Status</w:t>
                      </w:r>
                    </w:p>
                  </w:txbxContent>
                </v:textbox>
              </v:shape>
            </w:pict>
          </mc:Fallback>
        </mc:AlternateContent>
      </w: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7742F" wp14:editId="23510D1C">
                <wp:simplePos x="0" y="0"/>
                <wp:positionH relativeFrom="column">
                  <wp:posOffset>-421530</wp:posOffset>
                </wp:positionH>
                <wp:positionV relativeFrom="paragraph">
                  <wp:posOffset>45748</wp:posOffset>
                </wp:positionV>
                <wp:extent cx="7474227" cy="2381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C53" w:rsidRPr="000D28BC" w:rsidRDefault="00503C53" w:rsidP="00503C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6</w:t>
                            </w:r>
                            <w:r w:rsidRPr="000D2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2014-2015  Physical Science </w:t>
                            </w:r>
                            <w:r w:rsidRPr="000D2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Credit Hour Production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ased on Faculty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33.2pt;margin-top:3.6pt;width:588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XuVQIAAKEEAAAOAAAAZHJzL2Uyb0RvYy54bWysVE1vGjEQvVfqf7B8LwsbElKUJaKJqCpF&#10;SSSocjZeb1jJ63Ftwy799X32AqFpT1U5mPnyjOfNm7257RrNdsr5mkzBR4MhZ8pIKmvzWvDvq8Wn&#10;a858EKYUmowq+F55fjv7+OGmtVOV04Z0qRxDEuOnrS34JgQ7zTIvN6oRfkBWGTgrco0IUN1rVjrR&#10;Inujs3w4vMpacqV1JJX3sN73Tj5L+atKyfBUVV4FpguOt4V0unSu45nNbsT01Qm7qeXhGeIfXtGI&#10;2qDoKdW9CIJtXf1HqqaWjjxVYSCpyaiqaqlSD+hmNHzXzXIjrEq9ABxvTzD5/5dWPu6eHavLguc5&#10;Z0Y0mNFKdYF9oY7BBHxa66cIW1oEhg52zPlo9zDGtrvKNfEfDTH4gfT+hG7MJmGcjCfjPJ9wJuHL&#10;L65H+WVMk73dts6Hr4oaFoWCO0wvgSp2Dz70oceQWMyTrstFrXVS9v5OO7YTGDT4UVLLmRY+wFjw&#10;Rfodqv12TRvWFvzq4nKYKhmK+fpS2sS8KpHoUD9C0bccpdCtuwTd1RGONZV7oOSo55m3clGjlQe8&#10;41k4EAvAYFnCE45KEyrTQeJsQ+7n3+wxHvOGl7MWRC24/7EVTqG9bwZM+DwajyOzkzK+nORQ3Lln&#10;fe4x2+aOANEIa2llEmN80EexctS8YKfmsSpcwkjULng4inehXx/spFTzeQoCl60ID2ZpZUwdcYuD&#10;WnUvwtnDNAN48EhHSovpu6H2sfGmofk2UFWniUece1TBlKhgDxJnDjsbF+1cT1FvX5bZLwAAAP//&#10;AwBQSwMEFAAGAAgAAAAhAHB2RMPhAAAACQEAAA8AAABkcnMvZG93bnJldi54bWxMj0FLw0AUhO+C&#10;/2F5grd2kxJSiXkpIooWDNW04HWbfSbR7G7Y3Taxv77bkx6HGWa+yVeT6tmRrOuMRojnETDStZGd&#10;bhB22+fZHTDnhZaiN5oQfsnBqri+ykUmzag/6Fj5hoUS7TKB0Ho/ZJy7uiUl3NwMpIP3ZawSPkjb&#10;cGnFGMpVzxdRlHIlOh0WWjHQY0v1T3VQCJ9j9WI36/X3+/BanjanqnyjpxLx9mZ6uAfmafJ/Ybjg&#10;B3QoAtPeHLR0rEeYpWkSogjLBbCLH8dRCmyPkCRL4EXO/z8ozgAAAP//AwBQSwECLQAUAAYACAAA&#10;ACEAtoM4kv4AAADhAQAAEwAAAAAAAAAAAAAAAAAAAAAAW0NvbnRlbnRfVHlwZXNdLnhtbFBLAQIt&#10;ABQABgAIAAAAIQA4/SH/1gAAAJQBAAALAAAAAAAAAAAAAAAAAC8BAABfcmVscy8ucmVsc1BLAQIt&#10;ABQABgAIAAAAIQD5WYXuVQIAAKEEAAAOAAAAAAAAAAAAAAAAAC4CAABkcnMvZTJvRG9jLnhtbFBL&#10;AQItABQABgAIAAAAIQBwdkTD4QAAAAkBAAAPAAAAAAAAAAAAAAAAAK8EAABkcnMvZG93bnJldi54&#10;bWxQSwUGAAAAAAQABADzAAAAvQUAAAAA&#10;" fillcolor="window" stroked="f" strokeweight=".5pt">
                <v:textbox>
                  <w:txbxContent>
                    <w:p w:rsidR="00503C53" w:rsidRPr="000D28BC" w:rsidRDefault="00503C53" w:rsidP="00503C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Table 6</w:t>
                      </w:r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2014-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2015  Physical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Science </w:t>
                      </w:r>
                      <w:r w:rsidRPr="000D2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Credit Hour Production 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ased on Faculty Status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45"/>
        <w:tblW w:w="11149" w:type="dxa"/>
        <w:tblLayout w:type="fixed"/>
        <w:tblLook w:val="04A0" w:firstRow="1" w:lastRow="0" w:firstColumn="1" w:lastColumn="0" w:noHBand="0" w:noVBand="1"/>
      </w:tblPr>
      <w:tblGrid>
        <w:gridCol w:w="1098"/>
        <w:gridCol w:w="1184"/>
        <w:gridCol w:w="1268"/>
        <w:gridCol w:w="1186"/>
        <w:gridCol w:w="926"/>
        <w:gridCol w:w="980"/>
        <w:gridCol w:w="1191"/>
        <w:gridCol w:w="896"/>
        <w:gridCol w:w="1209"/>
        <w:gridCol w:w="1211"/>
      </w:tblGrid>
      <w:tr w:rsidR="00503C53" w:rsidTr="002971EE">
        <w:trPr>
          <w:trHeight w:val="230"/>
        </w:trPr>
        <w:tc>
          <w:tcPr>
            <w:tcW w:w="4737" w:type="dxa"/>
            <w:gridSpan w:val="4"/>
            <w:shd w:val="clear" w:color="auto" w:fill="BFBFBF" w:themeFill="background1" w:themeFillShade="BF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28BC">
              <w:rPr>
                <w:rFonts w:ascii="Times New Roman" w:hAnsi="Times New Roman" w:cs="Times New Roman"/>
                <w:b/>
                <w:i/>
              </w:rPr>
              <w:t>Full-Time</w:t>
            </w:r>
          </w:p>
        </w:tc>
        <w:tc>
          <w:tcPr>
            <w:tcW w:w="3993" w:type="dxa"/>
            <w:gridSpan w:val="4"/>
            <w:shd w:val="clear" w:color="auto" w:fill="BFBFBF" w:themeFill="background1" w:themeFillShade="BF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Part-Time</w:t>
            </w:r>
          </w:p>
        </w:tc>
        <w:tc>
          <w:tcPr>
            <w:tcW w:w="2419" w:type="dxa"/>
            <w:gridSpan w:val="2"/>
            <w:shd w:val="clear" w:color="auto" w:fill="BFBFBF" w:themeFill="background1" w:themeFillShade="BF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03C53" w:rsidTr="002971EE">
        <w:trPr>
          <w:trHeight w:val="800"/>
        </w:trPr>
        <w:tc>
          <w:tcPr>
            <w:tcW w:w="1099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Sections</w:t>
            </w:r>
          </w:p>
        </w:tc>
        <w:tc>
          <w:tcPr>
            <w:tcW w:w="1184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Enrolled</w:t>
            </w:r>
          </w:p>
        </w:tc>
        <w:tc>
          <w:tcPr>
            <w:tcW w:w="126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Credit Hr. Production</w:t>
            </w:r>
          </w:p>
        </w:tc>
        <w:tc>
          <w:tcPr>
            <w:tcW w:w="1185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Credit Hr, %</w:t>
            </w:r>
          </w:p>
        </w:tc>
        <w:tc>
          <w:tcPr>
            <w:tcW w:w="926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Sections</w:t>
            </w:r>
          </w:p>
        </w:tc>
        <w:tc>
          <w:tcPr>
            <w:tcW w:w="980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Enrolled</w:t>
            </w:r>
          </w:p>
        </w:tc>
        <w:tc>
          <w:tcPr>
            <w:tcW w:w="1191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Credit Hr. Production</w:t>
            </w:r>
          </w:p>
        </w:tc>
        <w:tc>
          <w:tcPr>
            <w:tcW w:w="896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Credit Hr. %</w:t>
            </w:r>
          </w:p>
        </w:tc>
        <w:tc>
          <w:tcPr>
            <w:tcW w:w="1209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Sections</w:t>
            </w:r>
          </w:p>
        </w:tc>
        <w:tc>
          <w:tcPr>
            <w:tcW w:w="1211" w:type="dxa"/>
          </w:tcPr>
          <w:p w:rsidR="00503C53" w:rsidRPr="00A97D8B" w:rsidRDefault="00503C53" w:rsidP="0029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>Total Credit Hr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9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Production</w:t>
            </w:r>
          </w:p>
        </w:tc>
      </w:tr>
      <w:tr w:rsidR="00503C53" w:rsidTr="002971EE">
        <w:trPr>
          <w:trHeight w:val="443"/>
        </w:trPr>
        <w:tc>
          <w:tcPr>
            <w:tcW w:w="1099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84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166</w:t>
            </w:r>
          </w:p>
        </w:tc>
        <w:tc>
          <w:tcPr>
            <w:tcW w:w="1268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664</w:t>
            </w:r>
          </w:p>
        </w:tc>
        <w:tc>
          <w:tcPr>
            <w:tcW w:w="1185" w:type="dxa"/>
          </w:tcPr>
          <w:p w:rsidR="00503C53" w:rsidRPr="000D28BC" w:rsidRDefault="00503C53" w:rsidP="002971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47.3</w:t>
            </w:r>
            <w:r w:rsidRPr="000D28BC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926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0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191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896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52.7%</w:t>
            </w:r>
          </w:p>
        </w:tc>
        <w:tc>
          <w:tcPr>
            <w:tcW w:w="1209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11" w:type="dxa"/>
          </w:tcPr>
          <w:p w:rsidR="00503C53" w:rsidRDefault="00503C53" w:rsidP="002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1,404</w:t>
            </w:r>
          </w:p>
        </w:tc>
      </w:tr>
    </w:tbl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pStyle w:val="Heading1"/>
        <w:numPr>
          <w:ilvl w:val="1"/>
          <w:numId w:val="1"/>
        </w:numPr>
        <w:tabs>
          <w:tab w:val="left" w:pos="1181"/>
        </w:tabs>
        <w:rPr>
          <w:b w:val="0"/>
          <w:bCs w:val="0"/>
        </w:rPr>
      </w:pPr>
      <w:r>
        <w:t>Resources</w:t>
      </w:r>
    </w:p>
    <w:p w:rsidR="00503C53" w:rsidRPr="00175A2E" w:rsidRDefault="00503C53" w:rsidP="00503C53">
      <w:pPr>
        <w:pStyle w:val="BodyText"/>
        <w:spacing w:before="41" w:line="276" w:lineRule="auto"/>
        <w:ind w:left="1180" w:right="143"/>
        <w:rPr>
          <w:rFonts w:asciiTheme="minorHAnsi" w:hAnsiTheme="minorHAnsi"/>
        </w:rPr>
      </w:pPr>
      <w:r w:rsidRPr="00175A2E">
        <w:rPr>
          <w:rFonts w:asciiTheme="minorHAnsi" w:hAnsiTheme="minorHAnsi" w:cs="Times New Roman"/>
        </w:rPr>
        <w:t xml:space="preserve">Several resources are available to faculty members for professional development.  These resources include professional organizations, publisher-supported seminars/webinars, Alabama Community College System sponsored events, and Jefferson State </w:t>
      </w:r>
      <w:r w:rsidRPr="00C441CC">
        <w:rPr>
          <w:rFonts w:asciiTheme="minorHAnsi" w:hAnsiTheme="minorHAnsi" w:cs="Times New Roman"/>
          <w:noProof/>
        </w:rPr>
        <w:t>library supported</w:t>
      </w:r>
      <w:r w:rsidRPr="00175A2E">
        <w:rPr>
          <w:rFonts w:asciiTheme="minorHAnsi" w:hAnsiTheme="minorHAnsi" w:cs="Times New Roman"/>
        </w:rPr>
        <w:t xml:space="preserve"> resources. Funding to cover registration for the Alabama Community College </w:t>
      </w:r>
      <w:r w:rsidR="007356D6">
        <w:rPr>
          <w:rFonts w:asciiTheme="minorHAnsi" w:hAnsiTheme="minorHAnsi" w:cs="Times New Roman"/>
        </w:rPr>
        <w:t>Association annual conference</w:t>
      </w:r>
      <w:r w:rsidRPr="00175A2E">
        <w:rPr>
          <w:rFonts w:asciiTheme="minorHAnsi" w:hAnsiTheme="minorHAnsi" w:cs="Times New Roman"/>
        </w:rPr>
        <w:t xml:space="preserve"> has </w:t>
      </w:r>
      <w:r w:rsidRPr="00C441CC">
        <w:rPr>
          <w:rFonts w:asciiTheme="minorHAnsi" w:hAnsiTheme="minorHAnsi" w:cs="Times New Roman"/>
          <w:noProof/>
        </w:rPr>
        <w:t>been covered</w:t>
      </w:r>
      <w:r>
        <w:rPr>
          <w:rFonts w:asciiTheme="minorHAnsi" w:hAnsiTheme="minorHAnsi" w:cs="Times New Roman"/>
        </w:rPr>
        <w:t xml:space="preserve"> by the college </w:t>
      </w:r>
      <w:r w:rsidRPr="00175A2E">
        <w:rPr>
          <w:rFonts w:asciiTheme="minorHAnsi" w:hAnsiTheme="minorHAnsi" w:cs="Times New Roman"/>
        </w:rPr>
        <w:t xml:space="preserve">and </w:t>
      </w:r>
      <w:r w:rsidRPr="00175A2E">
        <w:rPr>
          <w:rFonts w:asciiTheme="minorHAnsi" w:hAnsiTheme="minorHAnsi"/>
        </w:rPr>
        <w:t xml:space="preserve">the </w:t>
      </w:r>
      <w:r w:rsidR="00C441CC">
        <w:rPr>
          <w:rFonts w:asciiTheme="minorHAnsi" w:hAnsiTheme="minorHAnsi"/>
          <w:noProof/>
        </w:rPr>
        <w:t>D</w:t>
      </w:r>
      <w:r w:rsidRPr="00C441CC">
        <w:rPr>
          <w:rFonts w:asciiTheme="minorHAnsi" w:hAnsiTheme="minorHAnsi"/>
          <w:noProof/>
        </w:rPr>
        <w:t>epartment</w:t>
      </w:r>
      <w:r w:rsidRPr="00175A2E">
        <w:rPr>
          <w:rFonts w:asciiTheme="minorHAnsi" w:hAnsiTheme="minorHAnsi"/>
        </w:rPr>
        <w:t xml:space="preserve"> respectfully requests that this funding</w:t>
      </w:r>
      <w:r w:rsidRPr="00175A2E">
        <w:rPr>
          <w:rFonts w:asciiTheme="minorHAnsi" w:hAnsiTheme="minorHAnsi"/>
          <w:spacing w:val="-4"/>
        </w:rPr>
        <w:t xml:space="preserve"> </w:t>
      </w:r>
      <w:r w:rsidRPr="00175A2E">
        <w:rPr>
          <w:rFonts w:asciiTheme="minorHAnsi" w:hAnsiTheme="minorHAnsi"/>
        </w:rPr>
        <w:t>continue.</w:t>
      </w:r>
    </w:p>
    <w:p w:rsidR="00503C53" w:rsidRDefault="00503C53" w:rsidP="00503C53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pStyle w:val="Heading1"/>
        <w:numPr>
          <w:ilvl w:val="1"/>
          <w:numId w:val="1"/>
        </w:numPr>
        <w:tabs>
          <w:tab w:val="left" w:pos="1181"/>
        </w:tabs>
        <w:rPr>
          <w:b w:val="0"/>
          <w:bCs w:val="0"/>
        </w:rPr>
      </w:pPr>
      <w:r>
        <w:t>Enrollment</w:t>
      </w:r>
    </w:p>
    <w:p w:rsidR="00503C53" w:rsidRDefault="00503C53" w:rsidP="00503C53">
      <w:pPr>
        <w:pStyle w:val="BodyText"/>
        <w:spacing w:before="38" w:line="278" w:lineRule="auto"/>
        <w:ind w:left="1180"/>
      </w:pPr>
      <w:r>
        <w:t xml:space="preserve">Enrollment numbers have </w:t>
      </w:r>
      <w:r w:rsidRPr="00C441CC">
        <w:rPr>
          <w:noProof/>
        </w:rPr>
        <w:t>decreased</w:t>
      </w:r>
      <w:r w:rsidR="00C441CC">
        <w:rPr>
          <w:noProof/>
        </w:rPr>
        <w:t>,</w:t>
      </w:r>
      <w:r>
        <w:t xml:space="preserve"> and this enrollment trend is occurring not only at the college level </w:t>
      </w:r>
      <w:r w:rsidRPr="00C441CC">
        <w:rPr>
          <w:noProof/>
        </w:rPr>
        <w:t>but</w:t>
      </w:r>
      <w:r w:rsidR="00C441CC">
        <w:t xml:space="preserve"> </w:t>
      </w:r>
      <w:r>
        <w:t xml:space="preserve">state and national level as well. The cause is primarily due to changes in the Pell Grant funds </w:t>
      </w:r>
      <w:r w:rsidRPr="00547CCF">
        <w:rPr>
          <w:b/>
        </w:rPr>
        <w:t>(see Charts 1 &amp; 2)</w:t>
      </w:r>
      <w:r>
        <w:t xml:space="preserve">.   </w:t>
      </w:r>
    </w:p>
    <w:p w:rsidR="00503C53" w:rsidRDefault="00503C53" w:rsidP="00503C53">
      <w:pPr>
        <w:rPr>
          <w:rFonts w:ascii="Calibri" w:eastAsia="Calibri" w:hAnsi="Calibri" w:cs="Calibri"/>
          <w:sz w:val="25"/>
          <w:szCs w:val="25"/>
        </w:rPr>
      </w:pPr>
    </w:p>
    <w:p w:rsidR="00503C53" w:rsidRDefault="00503C53" w:rsidP="00503C53">
      <w:pPr>
        <w:pStyle w:val="Heading1"/>
        <w:numPr>
          <w:ilvl w:val="1"/>
          <w:numId w:val="1"/>
        </w:numPr>
        <w:tabs>
          <w:tab w:val="left" w:pos="1231"/>
        </w:tabs>
        <w:ind w:left="1230" w:hanging="410"/>
        <w:rPr>
          <w:b w:val="0"/>
          <w:bCs w:val="0"/>
        </w:rPr>
      </w:pPr>
      <w:r>
        <w:t>Facilities</w:t>
      </w:r>
    </w:p>
    <w:p w:rsidR="00503C53" w:rsidRPr="00547CCF" w:rsidRDefault="00503C53" w:rsidP="00503C53">
      <w:pPr>
        <w:pStyle w:val="BodyText"/>
        <w:spacing w:before="41" w:line="276" w:lineRule="auto"/>
        <w:ind w:left="1180" w:right="231"/>
      </w:pPr>
      <w:r>
        <w:t xml:space="preserve">Classrooms, computer labs, and office space are all currently sufficient to meet the </w:t>
      </w:r>
      <w:r>
        <w:rPr>
          <w:rFonts w:cs="Calibri"/>
        </w:rPr>
        <w:t xml:space="preserve">department’s needs. The majority of the math, chemistry, and physical science courses </w:t>
      </w:r>
      <w:r w:rsidRPr="00C441CC">
        <w:rPr>
          <w:rFonts w:cs="Calibri"/>
          <w:noProof/>
        </w:rPr>
        <w:t>are taught</w:t>
      </w:r>
      <w:r>
        <w:rPr>
          <w:rFonts w:cs="Calibri"/>
        </w:rPr>
        <w:t xml:space="preserve"> in the Math Science Building.  </w:t>
      </w:r>
      <w:r w:rsidR="007356D6">
        <w:rPr>
          <w:rFonts w:cs="Calibri"/>
        </w:rPr>
        <w:t xml:space="preserve">However, some classes </w:t>
      </w:r>
      <w:r w:rsidR="007356D6" w:rsidRPr="00C441CC">
        <w:rPr>
          <w:rFonts w:cs="Calibri"/>
          <w:noProof/>
        </w:rPr>
        <w:t>are</w:t>
      </w:r>
      <w:r w:rsidR="007356D6">
        <w:rPr>
          <w:rFonts w:cs="Calibri"/>
        </w:rPr>
        <w:t xml:space="preserve"> taught in the Health Science Building when necessary</w:t>
      </w:r>
      <w:r>
        <w:t>.</w:t>
      </w:r>
    </w:p>
    <w:p w:rsidR="00503C53" w:rsidRDefault="00503C53" w:rsidP="00503C53">
      <w:pPr>
        <w:pStyle w:val="Heading1"/>
        <w:numPr>
          <w:ilvl w:val="1"/>
          <w:numId w:val="1"/>
        </w:numPr>
        <w:tabs>
          <w:tab w:val="left" w:pos="1181"/>
        </w:tabs>
        <w:rPr>
          <w:b w:val="0"/>
          <w:bCs w:val="0"/>
        </w:rPr>
      </w:pPr>
      <w:r>
        <w:t>Equipment</w:t>
      </w:r>
    </w:p>
    <w:p w:rsidR="00503C53" w:rsidRDefault="00503C53" w:rsidP="00503C53">
      <w:pPr>
        <w:pStyle w:val="BodyText"/>
        <w:spacing w:before="39" w:line="276" w:lineRule="auto"/>
        <w:ind w:left="1180" w:right="152"/>
        <w:jc w:val="both"/>
      </w:pPr>
      <w:r w:rsidRPr="00C441CC">
        <w:rPr>
          <w:noProof/>
        </w:rPr>
        <w:t>All major</w:t>
      </w:r>
      <w:r>
        <w:t xml:space="preserve"> faculty and classroom equipment </w:t>
      </w:r>
      <w:r w:rsidRPr="00C441CC">
        <w:rPr>
          <w:noProof/>
        </w:rPr>
        <w:t>was replaced</w:t>
      </w:r>
      <w:r>
        <w:t xml:space="preserve"> during the last planning cycle. This equipment will need to be maintained to ensure all software </w:t>
      </w:r>
      <w:r w:rsidRPr="00C441CC">
        <w:rPr>
          <w:noProof/>
        </w:rPr>
        <w:t>is upgraded</w:t>
      </w:r>
      <w:r>
        <w:t xml:space="preserve"> on a regular basis. </w:t>
      </w:r>
    </w:p>
    <w:p w:rsidR="00503C53" w:rsidRDefault="00503C53" w:rsidP="00503C53">
      <w:pPr>
        <w:pStyle w:val="BodyText"/>
        <w:spacing w:before="39" w:line="276" w:lineRule="auto"/>
        <w:ind w:left="1180" w:right="152"/>
        <w:jc w:val="both"/>
      </w:pPr>
    </w:p>
    <w:p w:rsidR="00503C53" w:rsidRDefault="00503C53" w:rsidP="00503C53">
      <w:pPr>
        <w:pStyle w:val="BodyText"/>
        <w:spacing w:before="39" w:line="276" w:lineRule="auto"/>
        <w:ind w:left="0" w:right="152"/>
        <w:jc w:val="both"/>
        <w:sectPr w:rsidR="00503C53">
          <w:pgSz w:w="12240" w:h="15840"/>
          <w:pgMar w:top="1400" w:right="1320" w:bottom="1200" w:left="1340" w:header="0" w:footer="1014" w:gutter="0"/>
          <w:cols w:space="720"/>
        </w:sectPr>
      </w:pPr>
    </w:p>
    <w:p w:rsidR="00503C53" w:rsidRDefault="00503C53" w:rsidP="00503C53">
      <w:pPr>
        <w:pStyle w:val="Heading1"/>
        <w:spacing w:line="278" w:lineRule="auto"/>
        <w:ind w:left="0" w:right="231"/>
        <w:rPr>
          <w:b w:val="0"/>
          <w:bCs w:val="0"/>
        </w:rPr>
      </w:pPr>
      <w:r>
        <w:lastRenderedPageBreak/>
        <w:t>External Conditions (such as state funding, accrediting agencies, advisory committees, postsecondary policy</w:t>
      </w:r>
      <w:r>
        <w:rPr>
          <w:spacing w:val="-4"/>
        </w:rPr>
        <w:t xml:space="preserve"> </w:t>
      </w:r>
      <w:r>
        <w:t>changes):</w:t>
      </w:r>
    </w:p>
    <w:p w:rsidR="00503C53" w:rsidRPr="00EE283B" w:rsidRDefault="00503C53" w:rsidP="0050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Pr="009A44EA">
        <w:rPr>
          <w:rFonts w:ascii="Times New Roman" w:hAnsi="Times New Roman" w:cs="Times New Roman"/>
        </w:rPr>
        <w:t>courses</w:t>
      </w:r>
      <w:r>
        <w:rPr>
          <w:rFonts w:ascii="Times New Roman" w:hAnsi="Times New Roman" w:cs="Times New Roman"/>
        </w:rPr>
        <w:t xml:space="preserve"> within the department </w:t>
      </w:r>
      <w:r w:rsidRPr="00C441CC">
        <w:rPr>
          <w:rFonts w:ascii="Times New Roman" w:hAnsi="Times New Roman" w:cs="Times New Roman"/>
          <w:noProof/>
        </w:rPr>
        <w:t>are regulated</w:t>
      </w:r>
      <w:r w:rsidR="00C441CC">
        <w:rPr>
          <w:rFonts w:ascii="Times New Roman" w:hAnsi="Times New Roman" w:cs="Times New Roman"/>
        </w:rPr>
        <w:t xml:space="preserve"> by the Alabama Community College System central office</w:t>
      </w:r>
      <w:r w:rsidRPr="009A44EA">
        <w:rPr>
          <w:rFonts w:ascii="Times New Roman" w:hAnsi="Times New Roman" w:cs="Times New Roman"/>
        </w:rPr>
        <w:t xml:space="preserve">.  A statewide syllabus and competencies </w:t>
      </w:r>
      <w:r w:rsidRPr="00C441CC">
        <w:rPr>
          <w:rFonts w:ascii="Times New Roman" w:hAnsi="Times New Roman" w:cs="Times New Roman"/>
          <w:noProof/>
        </w:rPr>
        <w:t>are established</w:t>
      </w:r>
      <w:r w:rsidRPr="009A44EA">
        <w:rPr>
          <w:rFonts w:ascii="Times New Roman" w:hAnsi="Times New Roman" w:cs="Times New Roman"/>
        </w:rPr>
        <w:t xml:space="preserve"> for every course.  The </w:t>
      </w:r>
      <w:r w:rsidRPr="00C441CC">
        <w:rPr>
          <w:rFonts w:ascii="Times New Roman" w:hAnsi="Times New Roman" w:cs="Times New Roman"/>
          <w:noProof/>
        </w:rPr>
        <w:t>competencies</w:t>
      </w:r>
      <w:r w:rsidRPr="009A44EA">
        <w:rPr>
          <w:rFonts w:ascii="Times New Roman" w:hAnsi="Times New Roman" w:cs="Times New Roman"/>
        </w:rPr>
        <w:t xml:space="preserve"> are reviewed and updated as changes occur.  </w:t>
      </w:r>
    </w:p>
    <w:p w:rsidR="00503C53" w:rsidRDefault="00503C53" w:rsidP="00503C53">
      <w:pPr>
        <w:rPr>
          <w:rFonts w:ascii="Calibri" w:eastAsia="Calibri" w:hAnsi="Calibri" w:cs="Calibri"/>
        </w:rPr>
      </w:pPr>
    </w:p>
    <w:p w:rsidR="00503C53" w:rsidRPr="00175A2E" w:rsidRDefault="00503C53" w:rsidP="00503C53">
      <w:pPr>
        <w:rPr>
          <w:b/>
          <w:u w:val="single"/>
        </w:rPr>
      </w:pPr>
      <w:r w:rsidRPr="00175A2E">
        <w:rPr>
          <w:b/>
          <w:u w:val="single"/>
        </w:rPr>
        <w:t xml:space="preserve">2013-2014 Accomplishments: </w:t>
      </w:r>
    </w:p>
    <w:p w:rsidR="00503C53" w:rsidRDefault="00503C53" w:rsidP="00503C53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Corey Kline, Stella Langley, and Liesl Harris</w:t>
      </w:r>
      <w:r>
        <w:t xml:space="preserve"> - members of the college’s Quality Enhancement Plan (QEP) implementation committee.   </w:t>
      </w:r>
    </w:p>
    <w:p w:rsidR="00503C53" w:rsidRDefault="00503C53" w:rsidP="00503C53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Stella Langley-</w:t>
      </w:r>
      <w:r>
        <w:t xml:space="preserve"> serves as the co-chair for the QEP leadership team. She also serves as a college representative for the Vertical Teaming Initiative.</w:t>
      </w:r>
    </w:p>
    <w:p w:rsidR="00503C53" w:rsidRDefault="00503C53" w:rsidP="00503C53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Lisa Nagy</w:t>
      </w:r>
      <w:r>
        <w:t xml:space="preserve"> -serves as the current chairperson of the American Chemical Society of Alabama.</w:t>
      </w:r>
    </w:p>
    <w:p w:rsidR="00503C53" w:rsidRDefault="00503C53" w:rsidP="00503C53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</w:pPr>
      <w:r>
        <w:rPr>
          <w:b/>
        </w:rPr>
        <w:t>Margaret Thrasher</w:t>
      </w:r>
      <w:r>
        <w:t xml:space="preserve">- implemented new pedagogy for factoring in Mth 098.  She plans to develop ancillary materials </w:t>
      </w:r>
      <w:r w:rsidRPr="00C441CC">
        <w:rPr>
          <w:noProof/>
        </w:rPr>
        <w:t>to better assist</w:t>
      </w:r>
      <w:r>
        <w:t xml:space="preserve"> her students with this technique. </w:t>
      </w:r>
    </w:p>
    <w:p w:rsidR="00503C53" w:rsidRDefault="00503C53" w:rsidP="00503C53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</w:pPr>
      <w:r w:rsidRPr="00C441CC">
        <w:rPr>
          <w:b/>
          <w:noProof/>
        </w:rPr>
        <w:t>Yuing</w:t>
      </w:r>
      <w:r>
        <w:rPr>
          <w:b/>
        </w:rPr>
        <w:t xml:space="preserve"> Hargett</w:t>
      </w:r>
      <w:r>
        <w:t xml:space="preserve">- explored the use of proctoring service </w:t>
      </w:r>
      <w:r w:rsidRPr="00C441CC">
        <w:rPr>
          <w:noProof/>
        </w:rPr>
        <w:t>to better serve</w:t>
      </w:r>
      <w:r>
        <w:t xml:space="preserve"> her online students.  After careful </w:t>
      </w:r>
      <w:r w:rsidRPr="00C441CC">
        <w:rPr>
          <w:noProof/>
        </w:rPr>
        <w:t>considerations</w:t>
      </w:r>
      <w:r w:rsidR="00C441CC">
        <w:rPr>
          <w:noProof/>
        </w:rPr>
        <w:t>,</w:t>
      </w:r>
      <w:r>
        <w:t xml:space="preserve"> she concluded that onsite class meeting would maintain the integrity of the course.</w:t>
      </w:r>
    </w:p>
    <w:p w:rsidR="00503C53" w:rsidRDefault="00503C53" w:rsidP="00503C53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</w:pPr>
      <w:r w:rsidRPr="00C441CC">
        <w:rPr>
          <w:b/>
          <w:noProof/>
        </w:rPr>
        <w:t>Konstatinos</w:t>
      </w:r>
      <w:r>
        <w:rPr>
          <w:b/>
        </w:rPr>
        <w:t xml:space="preserve"> Theodorou</w:t>
      </w:r>
      <w:r>
        <w:t>-  headed the development of the SLO’s for the MTH- 100, MTH-116, and MTH-265 courses</w:t>
      </w:r>
    </w:p>
    <w:p w:rsidR="00503C53" w:rsidRDefault="00503C53" w:rsidP="00503C53">
      <w:pPr>
        <w:spacing w:line="278" w:lineRule="auto"/>
      </w:pPr>
    </w:p>
    <w:p w:rsidR="00503C53" w:rsidRDefault="00503C53" w:rsidP="00503C53">
      <w:pPr>
        <w:spacing w:line="278" w:lineRule="auto"/>
        <w:rPr>
          <w:b/>
          <w:u w:val="single"/>
        </w:rPr>
      </w:pPr>
      <w:r w:rsidRPr="00175A2E">
        <w:rPr>
          <w:b/>
          <w:u w:val="single"/>
        </w:rPr>
        <w:t>2014-2015 Accomplishments</w:t>
      </w:r>
    </w:p>
    <w:p w:rsidR="00503C53" w:rsidRDefault="00503C53" w:rsidP="00503C53">
      <w:pPr>
        <w:spacing w:line="278" w:lineRule="auto"/>
        <w:rPr>
          <w:b/>
          <w:u w:val="single"/>
        </w:rPr>
      </w:pPr>
    </w:p>
    <w:p w:rsidR="00503C53" w:rsidRPr="003823C7" w:rsidRDefault="00503C53" w:rsidP="00503C53">
      <w:pPr>
        <w:pStyle w:val="ListParagraph"/>
        <w:numPr>
          <w:ilvl w:val="0"/>
          <w:numId w:val="3"/>
        </w:numPr>
        <w:spacing w:line="278" w:lineRule="auto"/>
        <w:rPr>
          <w:b/>
          <w:u w:val="single"/>
        </w:rPr>
      </w:pPr>
      <w:r>
        <w:t xml:space="preserve"> </w:t>
      </w:r>
      <w:r w:rsidRPr="00C441CC">
        <w:rPr>
          <w:b/>
          <w:noProof/>
        </w:rPr>
        <w:t>Yuing</w:t>
      </w:r>
      <w:r w:rsidRPr="003823C7">
        <w:rPr>
          <w:b/>
        </w:rPr>
        <w:t xml:space="preserve"> Hargett</w:t>
      </w:r>
      <w:r>
        <w:t xml:space="preserve"> - Ms. Hargett participated in the Enhanced WebAssign Technology Power User Summit held in Boston, Massachusetts</w:t>
      </w:r>
      <w:r w:rsidR="007356D6">
        <w:t xml:space="preserve"> from</w:t>
      </w:r>
      <w:r>
        <w:t xml:space="preserve"> October 2-3, 2014.  She used the knowledge she gained </w:t>
      </w:r>
      <w:r w:rsidRPr="00C441CC">
        <w:rPr>
          <w:noProof/>
        </w:rPr>
        <w:t>at the conference</w:t>
      </w:r>
      <w:r>
        <w:t xml:space="preserve"> to host a very informative faculty workshop.  The workshop </w:t>
      </w:r>
      <w:r w:rsidRPr="00C441CC">
        <w:rPr>
          <w:noProof/>
        </w:rPr>
        <w:t>was very well attended</w:t>
      </w:r>
      <w:r w:rsidR="00C441CC" w:rsidRPr="00C441CC">
        <w:rPr>
          <w:noProof/>
        </w:rPr>
        <w:t>,</w:t>
      </w:r>
      <w:r>
        <w:t xml:space="preserve"> and a few instructors that had not previously used the technology in the classroom implemented WebAssign in their courses the following semester.   </w:t>
      </w:r>
    </w:p>
    <w:p w:rsidR="00503C53" w:rsidRDefault="00503C53" w:rsidP="00503C53">
      <w:pPr>
        <w:spacing w:line="278" w:lineRule="auto"/>
        <w:rPr>
          <w:b/>
          <w:u w:val="single"/>
        </w:rPr>
      </w:pPr>
    </w:p>
    <w:p w:rsidR="00503C53" w:rsidRPr="00D77357" w:rsidRDefault="00503C53" w:rsidP="00503C53">
      <w:pPr>
        <w:pStyle w:val="ListParagraph"/>
        <w:numPr>
          <w:ilvl w:val="0"/>
          <w:numId w:val="3"/>
        </w:numPr>
        <w:spacing w:line="278" w:lineRule="auto"/>
        <w:rPr>
          <w:b/>
          <w:u w:val="single"/>
        </w:rPr>
      </w:pPr>
      <w:r w:rsidRPr="003823C7">
        <w:rPr>
          <w:b/>
        </w:rPr>
        <w:t xml:space="preserve"> Corey Kline</w:t>
      </w:r>
      <w:r>
        <w:rPr>
          <w:b/>
        </w:rPr>
        <w:t xml:space="preserve"> – </w:t>
      </w:r>
      <w:r>
        <w:t xml:space="preserve">Mr. Kline participated in a webinar entitled “Another Look at the Challenges of </w:t>
      </w:r>
      <w:r w:rsidR="00C441CC">
        <w:rPr>
          <w:noProof/>
        </w:rPr>
        <w:t>T</w:t>
      </w:r>
      <w:r w:rsidRPr="00C441CC">
        <w:rPr>
          <w:noProof/>
        </w:rPr>
        <w:t>eaching</w:t>
      </w:r>
      <w:r>
        <w:t xml:space="preserve"> and Learning Infinite Series in Calculus”.  The webinar allowed him to learn more about the latest research, </w:t>
      </w:r>
      <w:r w:rsidRPr="00C441CC">
        <w:rPr>
          <w:noProof/>
        </w:rPr>
        <w:t>teaching</w:t>
      </w:r>
      <w:r>
        <w:t xml:space="preserve"> and learning strategies to improve student understanding and performance in Calculus. </w:t>
      </w:r>
    </w:p>
    <w:p w:rsidR="00503C53" w:rsidRDefault="00503C53" w:rsidP="00503C53">
      <w:pPr>
        <w:spacing w:line="278" w:lineRule="auto"/>
        <w:rPr>
          <w:b/>
          <w:u w:val="single"/>
        </w:rPr>
      </w:pPr>
    </w:p>
    <w:p w:rsidR="00503C53" w:rsidRPr="00D77357" w:rsidRDefault="00503C53" w:rsidP="00503C53">
      <w:pPr>
        <w:pStyle w:val="ListParagraph"/>
        <w:numPr>
          <w:ilvl w:val="0"/>
          <w:numId w:val="3"/>
        </w:numPr>
        <w:spacing w:line="278" w:lineRule="auto"/>
        <w:rPr>
          <w:b/>
        </w:rPr>
        <w:sectPr w:rsidR="00503C53" w:rsidRPr="00D77357">
          <w:pgSz w:w="12240" w:h="15840"/>
          <w:pgMar w:top="1500" w:right="1320" w:bottom="1200" w:left="1340" w:header="0" w:footer="1014" w:gutter="0"/>
          <w:cols w:space="720"/>
        </w:sectPr>
      </w:pPr>
      <w:r w:rsidRPr="00D77357">
        <w:rPr>
          <w:b/>
        </w:rPr>
        <w:t xml:space="preserve"> Dr. Lisa Nagy</w:t>
      </w:r>
      <w:r>
        <w:rPr>
          <w:b/>
        </w:rPr>
        <w:t xml:space="preserve"> – </w:t>
      </w:r>
      <w:r>
        <w:t xml:space="preserve"> Dr. Nagy served as the 2014 Chair of the Alabama Local Section of the American Chemical Society.  She also attend</w:t>
      </w:r>
      <w:r w:rsidR="007356D6">
        <w:t>ed</w:t>
      </w:r>
      <w:r>
        <w:t xml:space="preserve"> the 2015 American Chemical Society national meeting in Denver, CO in March of 2015.  Her service as a chairperson and active participation in the national organization enables her to be</w:t>
      </w:r>
      <w:r w:rsidR="00C441CC">
        <w:t xml:space="preserve"> a</w:t>
      </w:r>
      <w:r>
        <w:t xml:space="preserve"> </w:t>
      </w:r>
      <w:r w:rsidRPr="00C441CC">
        <w:rPr>
          <w:noProof/>
        </w:rPr>
        <w:t>valuable</w:t>
      </w:r>
      <w:r>
        <w:t xml:space="preserve"> resource </w:t>
      </w:r>
      <w:r w:rsidR="00C441CC">
        <w:rPr>
          <w:noProof/>
        </w:rPr>
        <w:t>for</w:t>
      </w:r>
      <w:r>
        <w:t xml:space="preserve"> both full-time and part-time instructors. More importantly</w:t>
      </w:r>
      <w:r w:rsidR="007356D6">
        <w:t>,</w:t>
      </w:r>
      <w:r>
        <w:t xml:space="preserve"> she stays abreast of innovative teaching pedagogy.</w:t>
      </w:r>
    </w:p>
    <w:p w:rsidR="00503C53" w:rsidRPr="007356D6" w:rsidRDefault="00503C53" w:rsidP="00503C53">
      <w:pPr>
        <w:spacing w:before="169"/>
        <w:ind w:left="100" w:right="143"/>
        <w:rPr>
          <w:rFonts w:ascii="Calibri" w:eastAsia="Calibri" w:hAnsi="Calibri" w:cs="Calibri"/>
          <w:u w:val="single"/>
        </w:rPr>
      </w:pPr>
      <w:r w:rsidRPr="007356D6">
        <w:rPr>
          <w:rFonts w:ascii="Calibri"/>
          <w:b/>
          <w:u w:val="single"/>
        </w:rPr>
        <w:lastRenderedPageBreak/>
        <w:t>Unit Goals for</w:t>
      </w:r>
      <w:r w:rsidRPr="007356D6">
        <w:rPr>
          <w:rFonts w:ascii="Calibri"/>
          <w:b/>
          <w:spacing w:val="-12"/>
          <w:u w:val="single"/>
        </w:rPr>
        <w:t xml:space="preserve"> </w:t>
      </w:r>
      <w:r w:rsidRPr="007356D6">
        <w:rPr>
          <w:rFonts w:ascii="Calibri"/>
          <w:b/>
          <w:u w:val="single"/>
        </w:rPr>
        <w:t>2016-2017</w:t>
      </w:r>
    </w:p>
    <w:p w:rsidR="00503C53" w:rsidRDefault="00503C53" w:rsidP="00503C5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03C53" w:rsidRDefault="00503C53" w:rsidP="00503C53">
      <w:pPr>
        <w:ind w:left="100" w:right="143"/>
        <w:rPr>
          <w:rFonts w:ascii="Calibri" w:eastAsia="Calibri" w:hAnsi="Calibri" w:cs="Calibri"/>
        </w:rPr>
      </w:pPr>
      <w:r w:rsidRPr="00C441CC">
        <w:rPr>
          <w:rFonts w:ascii="Calibri" w:eastAsia="Calibri" w:hAnsi="Calibri" w:cs="Calibri"/>
          <w:b/>
          <w:bCs/>
          <w:noProof/>
        </w:rPr>
        <w:t>Goal</w:t>
      </w:r>
      <w:r>
        <w:rPr>
          <w:rFonts w:ascii="Calibri" w:eastAsia="Calibri" w:hAnsi="Calibri" w:cs="Calibri"/>
          <w:b/>
          <w:bCs/>
        </w:rPr>
        <w:t xml:space="preserve"> 1:  Enhance the teaching and learning</w:t>
      </w:r>
      <w:r w:rsidR="00C441CC">
        <w:rPr>
          <w:rFonts w:ascii="Calibri" w:eastAsia="Calibri" w:hAnsi="Calibri" w:cs="Calibri"/>
          <w:b/>
          <w:bCs/>
        </w:rPr>
        <w:t xml:space="preserve"> </w:t>
      </w:r>
      <w:r w:rsidRPr="00C441CC">
        <w:rPr>
          <w:rFonts w:ascii="Calibri" w:eastAsia="Calibri" w:hAnsi="Calibri" w:cs="Calibri"/>
          <w:b/>
          <w:bCs/>
          <w:noProof/>
        </w:rPr>
        <w:t>process</w:t>
      </w:r>
      <w:r>
        <w:rPr>
          <w:rFonts w:ascii="Calibri" w:eastAsia="Calibri" w:hAnsi="Calibri" w:cs="Calibri"/>
          <w:b/>
          <w:bCs/>
        </w:rPr>
        <w:t xml:space="preserve"> for math students through the purchase </w:t>
      </w:r>
      <w:r w:rsidR="007356D6">
        <w:rPr>
          <w:rFonts w:ascii="Calibri" w:eastAsia="Calibri" w:hAnsi="Calibri" w:cs="Calibri"/>
          <w:b/>
          <w:bCs/>
        </w:rPr>
        <w:t>of new</w:t>
      </w:r>
      <w:r>
        <w:rPr>
          <w:rFonts w:ascii="Calibri" w:eastAsia="Calibri" w:hAnsi="Calibri" w:cs="Calibri"/>
          <w:b/>
          <w:bCs/>
        </w:rPr>
        <w:t xml:space="preserve"> technology</w:t>
      </w:r>
      <w:r w:rsidR="007356D6">
        <w:rPr>
          <w:rFonts w:ascii="Calibri" w:eastAsia="Calibri" w:hAnsi="Calibri" w:cs="Calibri"/>
          <w:b/>
          <w:bCs/>
        </w:rPr>
        <w:t>.</w:t>
      </w:r>
    </w:p>
    <w:p w:rsidR="00503C53" w:rsidRDefault="00503C53" w:rsidP="00503C5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03C53" w:rsidRPr="00E26366" w:rsidRDefault="00503C53" w:rsidP="00503C53">
      <w:pPr>
        <w:pStyle w:val="ListParagraph"/>
        <w:widowControl/>
        <w:spacing w:after="200" w:line="276" w:lineRule="auto"/>
        <w:ind w:left="360"/>
        <w:contextualSpacing/>
        <w:rPr>
          <w:b/>
        </w:rPr>
      </w:pPr>
      <w:r w:rsidRPr="00E26366">
        <w:rPr>
          <w:b/>
        </w:rPr>
        <w:t xml:space="preserve">Objective: </w:t>
      </w:r>
    </w:p>
    <w:p w:rsidR="00503C53" w:rsidRDefault="00503C53" w:rsidP="00503C53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</w:pPr>
      <w:r w:rsidRPr="00C441CC">
        <w:rPr>
          <w:noProof/>
        </w:rPr>
        <w:t>Improve methods of formal and ad hoc classroom lecture recordings.</w:t>
      </w:r>
    </w:p>
    <w:p w:rsidR="00503C53" w:rsidRDefault="00503C53" w:rsidP="00503C53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</w:pPr>
      <w:r>
        <w:t>Establish a High Definition library that would serve as online tutorials for all math students.</w:t>
      </w:r>
    </w:p>
    <w:p w:rsidR="00503C53" w:rsidRPr="00E26366" w:rsidRDefault="00503C53" w:rsidP="00503C53">
      <w:pPr>
        <w:widowControl/>
        <w:spacing w:after="200" w:line="276" w:lineRule="auto"/>
        <w:ind w:left="360"/>
        <w:contextualSpacing/>
        <w:rPr>
          <w:b/>
        </w:rPr>
      </w:pPr>
      <w:r w:rsidRPr="00E26366">
        <w:rPr>
          <w:b/>
        </w:rPr>
        <w:t>Method of Assessment:</w:t>
      </w:r>
    </w:p>
    <w:p w:rsidR="00503C53" w:rsidRDefault="00503C53" w:rsidP="00503C53">
      <w:pPr>
        <w:widowControl/>
        <w:spacing w:after="200" w:line="276" w:lineRule="auto"/>
        <w:ind w:left="360"/>
        <w:contextualSpacing/>
      </w:pPr>
      <w:r>
        <w:t xml:space="preserve">Faculty and students would provide qualitative feedback about their experiences using the technology both in and out of the classroom.  Quantitative data could be obtained by conducting a pilot study </w:t>
      </w:r>
      <w:r w:rsidR="00C441CC">
        <w:rPr>
          <w:noProof/>
        </w:rPr>
        <w:t>that</w:t>
      </w:r>
      <w:r>
        <w:t xml:space="preserve"> compared students who </w:t>
      </w:r>
      <w:r w:rsidR="007356D6">
        <w:t>accessed and used the online tutorials</w:t>
      </w:r>
      <w:r>
        <w:t xml:space="preserve"> versus those that did not use the online tutorials as supplemental instruction. </w:t>
      </w:r>
    </w:p>
    <w:p w:rsidR="00503C53" w:rsidRPr="007356D6" w:rsidRDefault="007356D6" w:rsidP="007356D6">
      <w:pPr>
        <w:widowControl/>
        <w:tabs>
          <w:tab w:val="left" w:pos="2445"/>
        </w:tabs>
        <w:spacing w:after="200" w:line="276" w:lineRule="auto"/>
        <w:ind w:firstLine="360"/>
        <w:contextualSpacing/>
        <w:rPr>
          <w:b/>
        </w:rPr>
      </w:pPr>
      <w:r w:rsidRPr="007356D6">
        <w:rPr>
          <w:b/>
        </w:rPr>
        <w:tab/>
      </w:r>
    </w:p>
    <w:p w:rsidR="007356D6" w:rsidRPr="007356D6" w:rsidRDefault="007356D6" w:rsidP="00503C53">
      <w:pPr>
        <w:widowControl/>
        <w:spacing w:after="200" w:line="276" w:lineRule="auto"/>
        <w:ind w:left="360"/>
        <w:contextualSpacing/>
        <w:rPr>
          <w:b/>
          <w:noProof/>
        </w:rPr>
      </w:pPr>
      <w:r w:rsidRPr="007356D6">
        <w:rPr>
          <w:b/>
          <w:noProof/>
        </w:rPr>
        <w:t>Additional Funds Requested</w:t>
      </w:r>
    </w:p>
    <w:p w:rsidR="00503C53" w:rsidRDefault="00503C53" w:rsidP="00503C53">
      <w:pPr>
        <w:widowControl/>
        <w:spacing w:after="200" w:line="276" w:lineRule="auto"/>
        <w:ind w:left="360"/>
        <w:contextualSpacing/>
      </w:pPr>
      <w:r w:rsidRPr="00D541D3">
        <w:rPr>
          <w:noProof/>
        </w:rPr>
        <w:t>Math faculty have requested the purchase of Apple I-pads, Berm Kickstand Portable Projector, and associated applications.</w:t>
      </w:r>
    </w:p>
    <w:p w:rsidR="00503C53" w:rsidRPr="009F5C57" w:rsidRDefault="00503C53" w:rsidP="00F15B94">
      <w:pPr>
        <w:pStyle w:val="ListParagraph"/>
        <w:widowControl/>
        <w:numPr>
          <w:ilvl w:val="1"/>
          <w:numId w:val="4"/>
        </w:numPr>
        <w:spacing w:after="200"/>
        <w:contextualSpacing/>
      </w:pPr>
      <w:r w:rsidRPr="009F5C57">
        <w:rPr>
          <w:rFonts w:cs="Times New Roman"/>
          <w:sz w:val="24"/>
          <w:szCs w:val="24"/>
        </w:rPr>
        <w:t>Apple IPad Air 2 128GB - $699</w:t>
      </w:r>
    </w:p>
    <w:p w:rsidR="00503C53" w:rsidRPr="00D541D3" w:rsidRDefault="00503C53" w:rsidP="00F15B94">
      <w:pPr>
        <w:pStyle w:val="ListParagraph"/>
        <w:widowControl/>
        <w:numPr>
          <w:ilvl w:val="1"/>
          <w:numId w:val="4"/>
        </w:numPr>
        <w:contextualSpacing/>
        <w:rPr>
          <w:rFonts w:cs="Times New Roman"/>
          <w:sz w:val="24"/>
          <w:szCs w:val="24"/>
        </w:rPr>
      </w:pPr>
      <w:r w:rsidRPr="00D541D3">
        <w:rPr>
          <w:rFonts w:cs="Times New Roman"/>
          <w:sz w:val="24"/>
          <w:szCs w:val="24"/>
        </w:rPr>
        <w:t xml:space="preserve">Bēm Kickstand Portable Projector  - $499.95 </w:t>
      </w:r>
    </w:p>
    <w:p w:rsidR="00503C53" w:rsidRPr="00D541D3" w:rsidRDefault="00503C53" w:rsidP="00F15B94">
      <w:pPr>
        <w:pStyle w:val="ListParagraph"/>
        <w:widowControl/>
        <w:numPr>
          <w:ilvl w:val="1"/>
          <w:numId w:val="4"/>
        </w:numPr>
        <w:contextualSpacing/>
        <w:rPr>
          <w:rFonts w:cs="Times New Roman"/>
          <w:sz w:val="24"/>
          <w:szCs w:val="24"/>
        </w:rPr>
      </w:pPr>
      <w:r w:rsidRPr="00D541D3">
        <w:rPr>
          <w:rFonts w:cs="Times New Roman"/>
          <w:sz w:val="24"/>
          <w:szCs w:val="24"/>
        </w:rPr>
        <w:t>Presentation Recorder App  - $3.99</w:t>
      </w:r>
    </w:p>
    <w:p w:rsidR="00503C53" w:rsidRPr="00D541D3" w:rsidRDefault="00503C53" w:rsidP="00F15B94">
      <w:pPr>
        <w:pStyle w:val="ListParagraph"/>
        <w:widowControl/>
        <w:numPr>
          <w:ilvl w:val="1"/>
          <w:numId w:val="4"/>
        </w:numPr>
        <w:contextualSpacing/>
        <w:rPr>
          <w:rFonts w:cs="Times New Roman"/>
          <w:sz w:val="24"/>
          <w:szCs w:val="24"/>
        </w:rPr>
      </w:pPr>
      <w:r w:rsidRPr="00D541D3">
        <w:rPr>
          <w:rFonts w:cs="Times New Roman"/>
          <w:sz w:val="24"/>
          <w:szCs w:val="24"/>
        </w:rPr>
        <w:t>UPAD App - $4.99</w:t>
      </w:r>
    </w:p>
    <w:p w:rsidR="00503C53" w:rsidRPr="00D541D3" w:rsidRDefault="00503C53" w:rsidP="00F15B94">
      <w:pPr>
        <w:pStyle w:val="ListParagraph"/>
        <w:widowControl/>
        <w:numPr>
          <w:ilvl w:val="1"/>
          <w:numId w:val="4"/>
        </w:numPr>
        <w:contextualSpacing/>
        <w:rPr>
          <w:rFonts w:cs="Times New Roman"/>
          <w:sz w:val="24"/>
          <w:szCs w:val="24"/>
        </w:rPr>
      </w:pPr>
      <w:r w:rsidRPr="00D541D3">
        <w:rPr>
          <w:rFonts w:cs="Times New Roman"/>
          <w:sz w:val="24"/>
          <w:szCs w:val="24"/>
        </w:rPr>
        <w:t xml:space="preserve">Educreations App = $99 </w:t>
      </w:r>
    </w:p>
    <w:p w:rsidR="00503C53" w:rsidRPr="00D541D3" w:rsidRDefault="00503C53" w:rsidP="00F15B94">
      <w:pPr>
        <w:pStyle w:val="ListParagraph"/>
        <w:widowControl/>
        <w:numPr>
          <w:ilvl w:val="1"/>
          <w:numId w:val="4"/>
        </w:numPr>
        <w:contextualSpacing/>
        <w:rPr>
          <w:rFonts w:cs="Times New Roman"/>
          <w:b/>
          <w:sz w:val="24"/>
          <w:szCs w:val="24"/>
        </w:rPr>
      </w:pPr>
      <w:r w:rsidRPr="00D541D3">
        <w:rPr>
          <w:rFonts w:cs="Times New Roman"/>
          <w:sz w:val="24"/>
          <w:szCs w:val="24"/>
        </w:rPr>
        <w:t xml:space="preserve">Total $1,306.93 X 8 = </w:t>
      </w:r>
      <w:r w:rsidRPr="00D541D3">
        <w:rPr>
          <w:rFonts w:cs="Times New Roman"/>
          <w:b/>
          <w:sz w:val="24"/>
          <w:szCs w:val="24"/>
        </w:rPr>
        <w:t>$10,455.44</w:t>
      </w:r>
    </w:p>
    <w:p w:rsidR="001010D1" w:rsidRDefault="001010D1" w:rsidP="001010D1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503C53" w:rsidRDefault="001010D1" w:rsidP="001010D1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 providing students with an external supplemental resource they can receive additional support that will help them acquire math content knowledge. </w:t>
      </w:r>
    </w:p>
    <w:p w:rsidR="00503C53" w:rsidRDefault="00503C53" w:rsidP="00503C53"/>
    <w:p w:rsidR="00503C53" w:rsidRDefault="00503C53" w:rsidP="00503C53">
      <w:r w:rsidRPr="008249F4">
        <w:rPr>
          <w:b/>
        </w:rPr>
        <w:t>Goal 2</w:t>
      </w:r>
      <w:r>
        <w:t xml:space="preserve">:  </w:t>
      </w:r>
      <w:r w:rsidRPr="007356D6">
        <w:rPr>
          <w:b/>
        </w:rPr>
        <w:t>Provide professional developmental opportunities for the integration of course technology in the classroom.</w:t>
      </w:r>
      <w:r>
        <w:t xml:space="preserve"> </w:t>
      </w:r>
    </w:p>
    <w:p w:rsidR="00503C53" w:rsidRDefault="00503C53" w:rsidP="00503C53"/>
    <w:p w:rsidR="00503C53" w:rsidRDefault="00503C53" w:rsidP="00503C53">
      <w:r w:rsidRPr="00547CCF">
        <w:rPr>
          <w:b/>
        </w:rPr>
        <w:t>Objective:</w:t>
      </w:r>
      <w:r>
        <w:t xml:space="preserve"> </w:t>
      </w:r>
    </w:p>
    <w:p w:rsidR="00503C53" w:rsidRPr="001532B1" w:rsidRDefault="00503C53" w:rsidP="007356D6">
      <w:pPr>
        <w:pStyle w:val="ListParagraph"/>
        <w:ind w:left="720"/>
        <w:rPr>
          <w:b/>
        </w:rPr>
      </w:pPr>
      <w:r>
        <w:t xml:space="preserve">Increase the number of instructors using comprehensive </w:t>
      </w:r>
      <w:r w:rsidRPr="00C441CC">
        <w:rPr>
          <w:noProof/>
        </w:rPr>
        <w:t>subject</w:t>
      </w:r>
      <w:r w:rsidR="00C441CC">
        <w:rPr>
          <w:noProof/>
        </w:rPr>
        <w:t>-</w:t>
      </w:r>
      <w:r w:rsidRPr="00C441CC">
        <w:rPr>
          <w:noProof/>
        </w:rPr>
        <w:t>based</w:t>
      </w:r>
      <w:r>
        <w:t xml:space="preserve"> course management </w:t>
      </w:r>
      <w:r w:rsidRPr="00C441CC">
        <w:rPr>
          <w:noProof/>
        </w:rPr>
        <w:t>tools by</w:t>
      </w:r>
      <w:r>
        <w:t xml:space="preserve"> </w:t>
      </w:r>
      <w:r w:rsidRPr="00C441CC">
        <w:rPr>
          <w:noProof/>
        </w:rPr>
        <w:t>provid</w:t>
      </w:r>
      <w:r w:rsidR="00C441CC">
        <w:rPr>
          <w:noProof/>
        </w:rPr>
        <w:t>ing</w:t>
      </w:r>
      <w:r>
        <w:t xml:space="preserve"> training and support for faculty interested in </w:t>
      </w:r>
      <w:r w:rsidR="007356D6">
        <w:t xml:space="preserve">incorporating additional </w:t>
      </w:r>
      <w:r w:rsidR="00C441CC">
        <w:t xml:space="preserve">technological </w:t>
      </w:r>
      <w:r w:rsidR="007356D6">
        <w:t>resources</w:t>
      </w:r>
      <w:r w:rsidR="00C441CC">
        <w:t xml:space="preserve"> in the classroom</w:t>
      </w:r>
      <w:r w:rsidR="007356D6">
        <w:t xml:space="preserve">. </w:t>
      </w:r>
    </w:p>
    <w:p w:rsidR="007356D6" w:rsidRDefault="007356D6" w:rsidP="00503C53">
      <w:pPr>
        <w:ind w:firstLine="90"/>
        <w:rPr>
          <w:b/>
        </w:rPr>
      </w:pPr>
    </w:p>
    <w:p w:rsidR="00503C53" w:rsidRDefault="00503C53" w:rsidP="00503C53">
      <w:pPr>
        <w:ind w:firstLine="90"/>
        <w:rPr>
          <w:b/>
        </w:rPr>
      </w:pPr>
      <w:r w:rsidRPr="008249F4">
        <w:rPr>
          <w:b/>
        </w:rPr>
        <w:t xml:space="preserve">Method of Assessment </w:t>
      </w:r>
    </w:p>
    <w:p w:rsidR="00503C53" w:rsidRPr="001532B1" w:rsidRDefault="00503C53" w:rsidP="007356D6">
      <w:pPr>
        <w:pStyle w:val="ListParagraph"/>
        <w:tabs>
          <w:tab w:val="left" w:pos="450"/>
        </w:tabs>
        <w:ind w:left="720"/>
        <w:rPr>
          <w:rFonts w:ascii="Calibri" w:eastAsia="Calibri" w:hAnsi="Calibri" w:cs="Calibri"/>
          <w:sz w:val="15"/>
          <w:szCs w:val="15"/>
        </w:rPr>
      </w:pPr>
      <w:r w:rsidRPr="00C441CC">
        <w:rPr>
          <w:noProof/>
        </w:rPr>
        <w:t>Faculty</w:t>
      </w:r>
      <w:r>
        <w:t xml:space="preserve"> will provide feedback after attending workshops. Also, the division chair will monitor the number of </w:t>
      </w:r>
      <w:r w:rsidRPr="00C441CC">
        <w:rPr>
          <w:noProof/>
        </w:rPr>
        <w:t>faculty</w:t>
      </w:r>
      <w:r>
        <w:t xml:space="preserve"> using the course management tools to enhance student learning.  </w:t>
      </w:r>
    </w:p>
    <w:p w:rsidR="007356D6" w:rsidRDefault="007356D6" w:rsidP="00503C53">
      <w:pPr>
        <w:tabs>
          <w:tab w:val="left" w:pos="450"/>
        </w:tabs>
        <w:ind w:left="90"/>
        <w:rPr>
          <w:rFonts w:ascii="Calibri" w:eastAsia="Calibri" w:hAnsi="Calibri" w:cs="Calibri"/>
          <w:b/>
          <w:sz w:val="24"/>
          <w:szCs w:val="24"/>
        </w:rPr>
      </w:pPr>
    </w:p>
    <w:p w:rsidR="00503C53" w:rsidRDefault="00503C53" w:rsidP="00503C53">
      <w:pPr>
        <w:tabs>
          <w:tab w:val="left" w:pos="450"/>
        </w:tabs>
        <w:ind w:left="90"/>
        <w:rPr>
          <w:rFonts w:ascii="Calibri" w:eastAsia="Calibri" w:hAnsi="Calibri" w:cs="Calibri"/>
          <w:b/>
          <w:sz w:val="24"/>
          <w:szCs w:val="24"/>
        </w:rPr>
      </w:pPr>
      <w:r w:rsidRPr="00F63909">
        <w:rPr>
          <w:rFonts w:ascii="Calibri" w:eastAsia="Calibri" w:hAnsi="Calibri" w:cs="Calibri"/>
          <w:b/>
          <w:sz w:val="24"/>
          <w:szCs w:val="24"/>
        </w:rPr>
        <w:t>Request for Additional Funds</w:t>
      </w:r>
    </w:p>
    <w:p w:rsidR="00503C53" w:rsidRPr="00F63909" w:rsidRDefault="00503C53" w:rsidP="007356D6">
      <w:pPr>
        <w:pStyle w:val="ListParagraph"/>
        <w:tabs>
          <w:tab w:val="left" w:pos="720"/>
        </w:tabs>
        <w:ind w:left="720"/>
        <w:rPr>
          <w:rFonts w:ascii="Calibri" w:eastAsia="Calibri" w:hAnsi="Calibri" w:cs="Calibri"/>
          <w:sz w:val="24"/>
          <w:szCs w:val="24"/>
        </w:rPr>
      </w:pPr>
      <w:r w:rsidRPr="00F63909">
        <w:rPr>
          <w:rFonts w:ascii="Calibri" w:eastAsia="Calibri" w:hAnsi="Calibri" w:cs="Calibri"/>
          <w:sz w:val="24"/>
          <w:szCs w:val="24"/>
        </w:rPr>
        <w:t>No additional funds requested</w:t>
      </w:r>
    </w:p>
    <w:p w:rsidR="00503C53" w:rsidRDefault="00503C53" w:rsidP="00503C53">
      <w:pPr>
        <w:pStyle w:val="Default"/>
        <w:rPr>
          <w:b/>
          <w:bCs/>
          <w:sz w:val="22"/>
          <w:szCs w:val="22"/>
        </w:rPr>
      </w:pPr>
    </w:p>
    <w:p w:rsidR="001010D1" w:rsidRDefault="001010D1" w:rsidP="00503C53">
      <w:pPr>
        <w:pStyle w:val="Default"/>
        <w:rPr>
          <w:b/>
          <w:bCs/>
          <w:sz w:val="22"/>
          <w:szCs w:val="22"/>
        </w:rPr>
      </w:pPr>
    </w:p>
    <w:p w:rsidR="001010D1" w:rsidRDefault="001010D1" w:rsidP="00503C53">
      <w:pPr>
        <w:pStyle w:val="Default"/>
        <w:rPr>
          <w:b/>
          <w:bCs/>
          <w:sz w:val="22"/>
          <w:szCs w:val="22"/>
        </w:rPr>
      </w:pPr>
    </w:p>
    <w:p w:rsidR="001010D1" w:rsidRDefault="001010D1" w:rsidP="00503C53">
      <w:pPr>
        <w:pStyle w:val="Default"/>
        <w:rPr>
          <w:b/>
          <w:bCs/>
          <w:sz w:val="22"/>
          <w:szCs w:val="22"/>
        </w:rPr>
      </w:pPr>
    </w:p>
    <w:p w:rsidR="001010D1" w:rsidRDefault="001010D1" w:rsidP="00503C53">
      <w:pPr>
        <w:pStyle w:val="Default"/>
        <w:rPr>
          <w:b/>
          <w:bCs/>
          <w:sz w:val="22"/>
          <w:szCs w:val="22"/>
        </w:rPr>
      </w:pPr>
    </w:p>
    <w:p w:rsidR="00503C53" w:rsidRDefault="00503C53" w:rsidP="00503C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Goal Four: Purchase new equipment to enhance laboratory instruction and dispose of chemical waste from labs. </w:t>
      </w:r>
    </w:p>
    <w:p w:rsidR="00503C53" w:rsidRDefault="00503C53" w:rsidP="00503C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Objectives: </w:t>
      </w:r>
    </w:p>
    <w:p w:rsidR="005C3036" w:rsidRDefault="005C3036" w:rsidP="005C3036">
      <w:pPr>
        <w:pStyle w:val="Default"/>
        <w:spacing w:after="70"/>
        <w:ind w:left="720"/>
        <w:rPr>
          <w:sz w:val="22"/>
          <w:szCs w:val="22"/>
        </w:rPr>
      </w:pPr>
    </w:p>
    <w:p w:rsidR="00503C53" w:rsidRDefault="005C3036" w:rsidP="005C3036">
      <w:pPr>
        <w:pStyle w:val="Default"/>
        <w:numPr>
          <w:ilvl w:val="0"/>
          <w:numId w:val="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Remove chemical waste</w:t>
      </w:r>
      <w:r w:rsidR="00503C53">
        <w:rPr>
          <w:sz w:val="22"/>
          <w:szCs w:val="22"/>
        </w:rPr>
        <w:t xml:space="preserve"> </w:t>
      </w:r>
      <w:r w:rsidR="00503C53" w:rsidRPr="00C441CC">
        <w:rPr>
          <w:noProof/>
          <w:sz w:val="22"/>
          <w:szCs w:val="22"/>
        </w:rPr>
        <w:t>to</w:t>
      </w:r>
      <w:r>
        <w:rPr>
          <w:sz w:val="22"/>
          <w:szCs w:val="22"/>
        </w:rPr>
        <w:t xml:space="preserve"> prevent buildup of toxic material and</w:t>
      </w:r>
      <w:r w:rsidR="00503C53">
        <w:rPr>
          <w:sz w:val="22"/>
          <w:szCs w:val="22"/>
        </w:rPr>
        <w:t xml:space="preserve"> ensure that items </w:t>
      </w:r>
      <w:r w:rsidR="00503C53" w:rsidRPr="00C441CC">
        <w:rPr>
          <w:noProof/>
          <w:sz w:val="22"/>
          <w:szCs w:val="22"/>
        </w:rPr>
        <w:t>are disposed of</w:t>
      </w:r>
      <w:r w:rsidR="00503C53">
        <w:rPr>
          <w:sz w:val="22"/>
          <w:szCs w:val="22"/>
        </w:rPr>
        <w:t xml:space="preserve"> properly. </w:t>
      </w:r>
    </w:p>
    <w:p w:rsidR="005C3036" w:rsidRPr="005C3036" w:rsidRDefault="005C3036" w:rsidP="005C3036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5C3036" w:rsidRPr="005C3036" w:rsidRDefault="005C3036" w:rsidP="005C3036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C3036">
        <w:rPr>
          <w:rFonts w:ascii="Calibri" w:hAnsi="Calibri" w:cs="Calibri"/>
          <w:color w:val="000000"/>
        </w:rPr>
        <w:t xml:space="preserve">Purchase of a new analytical balance to replace old and worn balance. </w:t>
      </w:r>
    </w:p>
    <w:p w:rsidR="005C3036" w:rsidRDefault="005C3036" w:rsidP="005C3036">
      <w:pPr>
        <w:pStyle w:val="Default"/>
        <w:ind w:left="90"/>
        <w:rPr>
          <w:b/>
          <w:color w:val="auto"/>
          <w:sz w:val="22"/>
          <w:szCs w:val="22"/>
        </w:rPr>
      </w:pPr>
    </w:p>
    <w:p w:rsidR="00503C53" w:rsidRPr="005C3036" w:rsidRDefault="005C3036" w:rsidP="005C3036">
      <w:pPr>
        <w:pStyle w:val="Default"/>
        <w:ind w:left="90"/>
        <w:rPr>
          <w:b/>
          <w:color w:val="auto"/>
          <w:sz w:val="22"/>
          <w:szCs w:val="22"/>
        </w:rPr>
      </w:pPr>
      <w:r w:rsidRPr="005C3036">
        <w:rPr>
          <w:b/>
          <w:color w:val="auto"/>
          <w:sz w:val="22"/>
          <w:szCs w:val="22"/>
        </w:rPr>
        <w:t>Methods of Assessment</w:t>
      </w:r>
    </w:p>
    <w:p w:rsidR="005C3036" w:rsidRDefault="005C3036" w:rsidP="005C3036">
      <w:pPr>
        <w:pStyle w:val="Default"/>
        <w:numPr>
          <w:ilvl w:val="0"/>
          <w:numId w:val="8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waste disposal </w:t>
      </w:r>
      <w:r w:rsidRPr="00C441CC">
        <w:rPr>
          <w:noProof/>
          <w:color w:val="auto"/>
          <w:sz w:val="22"/>
          <w:szCs w:val="22"/>
        </w:rPr>
        <w:t>pick up</w:t>
      </w:r>
      <w:r>
        <w:rPr>
          <w:color w:val="auto"/>
          <w:sz w:val="22"/>
          <w:szCs w:val="22"/>
        </w:rPr>
        <w:t xml:space="preserve"> will be initiated and monitored by both the lead chemistry instructor, </w:t>
      </w:r>
      <w:r w:rsidR="00C441CC">
        <w:rPr>
          <w:color w:val="auto"/>
          <w:sz w:val="22"/>
          <w:szCs w:val="22"/>
        </w:rPr>
        <w:t>and lab</w:t>
      </w:r>
      <w:r>
        <w:rPr>
          <w:color w:val="auto"/>
          <w:sz w:val="22"/>
          <w:szCs w:val="22"/>
        </w:rPr>
        <w:t xml:space="preserve"> coordinator, Lisa </w:t>
      </w:r>
      <w:r w:rsidRPr="00C441CC">
        <w:rPr>
          <w:noProof/>
          <w:color w:val="auto"/>
          <w:sz w:val="22"/>
          <w:szCs w:val="22"/>
        </w:rPr>
        <w:t>Nagy</w:t>
      </w:r>
      <w:r>
        <w:rPr>
          <w:color w:val="auto"/>
          <w:sz w:val="22"/>
          <w:szCs w:val="22"/>
        </w:rPr>
        <w:t xml:space="preserve"> and Preston Wallace, respectively.</w:t>
      </w:r>
    </w:p>
    <w:p w:rsidR="005C3036" w:rsidRDefault="005C3036" w:rsidP="005C3036">
      <w:pPr>
        <w:pStyle w:val="Default"/>
        <w:numPr>
          <w:ilvl w:val="0"/>
          <w:numId w:val="8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Several chemistry laboratory exercises require the use of analytical balance. The current balance is old and does not give accurate results. </w:t>
      </w:r>
      <w:r w:rsidR="00C441CC">
        <w:rPr>
          <w:noProof/>
          <w:color w:val="auto"/>
          <w:sz w:val="22"/>
          <w:szCs w:val="22"/>
        </w:rPr>
        <w:t>F</w:t>
      </w:r>
      <w:r w:rsidRPr="00C441CC">
        <w:rPr>
          <w:noProof/>
          <w:color w:val="auto"/>
          <w:sz w:val="22"/>
          <w:szCs w:val="22"/>
        </w:rPr>
        <w:t>or</w:t>
      </w:r>
      <w:r>
        <w:rPr>
          <w:color w:val="auto"/>
          <w:sz w:val="22"/>
          <w:szCs w:val="22"/>
        </w:rPr>
        <w:t xml:space="preserve"> students to gain the full benefit of the laboratory </w:t>
      </w:r>
      <w:r w:rsidRPr="00C441CC">
        <w:rPr>
          <w:noProof/>
          <w:color w:val="auto"/>
          <w:sz w:val="22"/>
          <w:szCs w:val="22"/>
        </w:rPr>
        <w:t>exercises</w:t>
      </w:r>
      <w:r w:rsidR="00C441CC">
        <w:rPr>
          <w:noProof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it is necessary that this piece of </w:t>
      </w:r>
      <w:r w:rsidRPr="00C441CC">
        <w:rPr>
          <w:noProof/>
          <w:color w:val="auto"/>
          <w:sz w:val="22"/>
          <w:szCs w:val="22"/>
        </w:rPr>
        <w:t>equip</w:t>
      </w:r>
      <w:r w:rsidR="00C441CC" w:rsidRPr="00C441CC">
        <w:rPr>
          <w:noProof/>
          <w:color w:val="auto"/>
          <w:sz w:val="22"/>
          <w:szCs w:val="22"/>
        </w:rPr>
        <w:t xml:space="preserve">ment </w:t>
      </w:r>
      <w:r w:rsidR="00C441CC">
        <w:rPr>
          <w:noProof/>
          <w:color w:val="auto"/>
          <w:sz w:val="22"/>
          <w:szCs w:val="22"/>
        </w:rPr>
        <w:t xml:space="preserve">to work </w:t>
      </w:r>
      <w:r w:rsidRPr="00C441CC">
        <w:rPr>
          <w:noProof/>
          <w:color w:val="auto"/>
          <w:sz w:val="22"/>
          <w:szCs w:val="22"/>
        </w:rPr>
        <w:t>properly</w:t>
      </w:r>
      <w:r>
        <w:rPr>
          <w:color w:val="auto"/>
          <w:sz w:val="22"/>
          <w:szCs w:val="22"/>
        </w:rPr>
        <w:t xml:space="preserve">. More </w:t>
      </w:r>
      <w:r w:rsidRPr="00C441CC">
        <w:rPr>
          <w:noProof/>
          <w:color w:val="auto"/>
          <w:sz w:val="22"/>
          <w:szCs w:val="22"/>
        </w:rPr>
        <w:t>accurate</w:t>
      </w:r>
      <w:r>
        <w:rPr>
          <w:color w:val="auto"/>
          <w:sz w:val="22"/>
          <w:szCs w:val="22"/>
        </w:rPr>
        <w:t xml:space="preserve"> laboratory exercise </w:t>
      </w:r>
      <w:r w:rsidRPr="00C441CC">
        <w:rPr>
          <w:noProof/>
          <w:color w:val="auto"/>
          <w:sz w:val="22"/>
          <w:szCs w:val="22"/>
        </w:rPr>
        <w:t>results</w:t>
      </w:r>
      <w:r w:rsidR="00C441CC">
        <w:rPr>
          <w:noProof/>
          <w:color w:val="auto"/>
          <w:sz w:val="22"/>
          <w:szCs w:val="22"/>
        </w:rPr>
        <w:t>, as well as feedback from the instructors and students,</w:t>
      </w:r>
      <w:r>
        <w:rPr>
          <w:color w:val="auto"/>
          <w:sz w:val="22"/>
          <w:szCs w:val="22"/>
        </w:rPr>
        <w:t xml:space="preserve"> will </w:t>
      </w:r>
      <w:r w:rsidRPr="00C441CC">
        <w:rPr>
          <w:noProof/>
          <w:color w:val="auto"/>
          <w:sz w:val="22"/>
          <w:szCs w:val="22"/>
        </w:rPr>
        <w:t>be used</w:t>
      </w:r>
      <w:r>
        <w:rPr>
          <w:color w:val="auto"/>
          <w:sz w:val="22"/>
          <w:szCs w:val="22"/>
        </w:rPr>
        <w:t xml:space="preserve"> as a method of assessment. </w:t>
      </w:r>
    </w:p>
    <w:p w:rsidR="00503C53" w:rsidRDefault="00503C53" w:rsidP="00503C53">
      <w:pPr>
        <w:pStyle w:val="Default"/>
        <w:ind w:left="450"/>
        <w:rPr>
          <w:color w:val="auto"/>
          <w:sz w:val="22"/>
          <w:szCs w:val="22"/>
        </w:rPr>
      </w:pPr>
    </w:p>
    <w:p w:rsidR="00503C53" w:rsidRDefault="00503C53" w:rsidP="00503C53">
      <w:pPr>
        <w:pStyle w:val="Default"/>
        <w:ind w:left="45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Additional Funding Requests </w:t>
      </w:r>
    </w:p>
    <w:p w:rsidR="005C3036" w:rsidRDefault="005C3036" w:rsidP="005C303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Waste Disposal Pick up for all campuses </w:t>
      </w:r>
    </w:p>
    <w:p w:rsidR="005C3036" w:rsidRDefault="005C3036" w:rsidP="005C3036">
      <w:pPr>
        <w:pStyle w:val="Default"/>
        <w:ind w:left="540" w:firstLine="270"/>
        <w:rPr>
          <w:color w:val="auto"/>
          <w:sz w:val="22"/>
          <w:szCs w:val="22"/>
        </w:rPr>
      </w:pPr>
      <w:r w:rsidRPr="00C441CC">
        <w:rPr>
          <w:noProof/>
          <w:color w:val="auto"/>
          <w:sz w:val="22"/>
          <w:szCs w:val="22"/>
        </w:rPr>
        <w:t>Tradebe</w:t>
      </w:r>
      <w:r>
        <w:rPr>
          <w:color w:val="auto"/>
          <w:sz w:val="22"/>
          <w:szCs w:val="22"/>
        </w:rPr>
        <w:t xml:space="preserve"> (waste disposal company) – estimated cost $2000.00 </w:t>
      </w:r>
    </w:p>
    <w:p w:rsidR="005C3036" w:rsidRDefault="005C3036" w:rsidP="005C3036">
      <w:pPr>
        <w:pStyle w:val="Default"/>
        <w:ind w:left="540" w:firstLine="270"/>
        <w:rPr>
          <w:color w:val="auto"/>
          <w:sz w:val="22"/>
          <w:szCs w:val="22"/>
        </w:rPr>
      </w:pPr>
    </w:p>
    <w:p w:rsidR="00503C53" w:rsidRDefault="00503C53" w:rsidP="005C303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Analytical Balance- Mettler Toledo New Classic MS Analytical Balance </w:t>
      </w:r>
    </w:p>
    <w:p w:rsidR="005C3036" w:rsidRDefault="00503C53" w:rsidP="005C3036">
      <w:pPr>
        <w:pStyle w:val="Default"/>
        <w:ind w:left="540" w:firstLine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Fisher (Model # 01-910-200) @ $3822.00</w:t>
      </w:r>
    </w:p>
    <w:p w:rsidR="00503C53" w:rsidRDefault="00503C53" w:rsidP="005C3036">
      <w:pPr>
        <w:pStyle w:val="Default"/>
        <w:ind w:left="540" w:firstLine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03C53" w:rsidRPr="00503C53" w:rsidRDefault="00503C53" w:rsidP="00503C53">
      <w:pPr>
        <w:pStyle w:val="ListParagraph"/>
        <w:spacing w:before="4"/>
        <w:ind w:left="450"/>
        <w:rPr>
          <w:rFonts w:ascii="Calibri" w:eastAsia="Calibri" w:hAnsi="Calibri" w:cs="Calibri"/>
          <w:sz w:val="17"/>
          <w:szCs w:val="17"/>
        </w:rPr>
      </w:pPr>
    </w:p>
    <w:p w:rsidR="00503C53" w:rsidRDefault="00503C53" w:rsidP="00503C53">
      <w:pPr>
        <w:pStyle w:val="Heading1"/>
        <w:ind w:left="450" w:right="143"/>
        <w:rPr>
          <w:b w:val="0"/>
          <w:bCs w:val="0"/>
        </w:rPr>
      </w:pPr>
      <w:r>
        <w:t>Unit Goals for</w:t>
      </w:r>
      <w:r>
        <w:rPr>
          <w:spacing w:val="-12"/>
        </w:rPr>
        <w:t xml:space="preserve"> </w:t>
      </w:r>
      <w:r>
        <w:t>2017-2018</w:t>
      </w:r>
    </w:p>
    <w:p w:rsidR="00503C53" w:rsidRPr="00503C53" w:rsidRDefault="00503C53" w:rsidP="00503C53">
      <w:pPr>
        <w:pStyle w:val="ListParagraph"/>
        <w:spacing w:before="7"/>
        <w:ind w:left="450"/>
        <w:rPr>
          <w:rFonts w:ascii="Calibri" w:eastAsia="Calibri" w:hAnsi="Calibri" w:cs="Calibri"/>
          <w:b/>
          <w:bCs/>
          <w:sz w:val="19"/>
          <w:szCs w:val="19"/>
        </w:rPr>
      </w:pPr>
    </w:p>
    <w:p w:rsidR="00503C53" w:rsidRDefault="00503C53" w:rsidP="0026569B">
      <w:pPr>
        <w:pStyle w:val="ListParagraph"/>
        <w:spacing w:line="276" w:lineRule="auto"/>
        <w:ind w:left="450"/>
      </w:pPr>
      <w:r w:rsidRPr="00C441CC">
        <w:rPr>
          <w:rFonts w:ascii="Calibri"/>
          <w:b/>
          <w:noProof/>
        </w:rPr>
        <w:t>Goal</w:t>
      </w:r>
      <w:r w:rsidRPr="00503C53">
        <w:rPr>
          <w:rFonts w:ascii="Calibri"/>
          <w:b/>
        </w:rPr>
        <w:t xml:space="preserve"> 1: </w:t>
      </w:r>
      <w:r>
        <w:t>Increase the number of department math tutors.</w:t>
      </w:r>
    </w:p>
    <w:p w:rsidR="0026569B" w:rsidRDefault="0026569B" w:rsidP="00503C53">
      <w:pPr>
        <w:pStyle w:val="ListParagraph"/>
        <w:spacing w:line="276" w:lineRule="auto"/>
        <w:ind w:left="450"/>
        <w:rPr>
          <w:rFonts w:ascii="Calibri"/>
          <w:b/>
        </w:rPr>
      </w:pPr>
    </w:p>
    <w:p w:rsidR="00503C53" w:rsidRDefault="00503C53" w:rsidP="00503C53">
      <w:pPr>
        <w:pStyle w:val="ListParagraph"/>
        <w:spacing w:line="276" w:lineRule="auto"/>
        <w:ind w:left="450"/>
      </w:pPr>
      <w:r>
        <w:rPr>
          <w:rFonts w:ascii="Calibri"/>
          <w:b/>
        </w:rPr>
        <w:t>Objective:</w:t>
      </w:r>
      <w:r>
        <w:t xml:space="preserve"> Increase oppor</w:t>
      </w:r>
      <w:r w:rsidR="0026569B">
        <w:t xml:space="preserve">tunities for students enrolled in any math course to receive free tutoring by a qualified individual employed by the department.  </w:t>
      </w:r>
    </w:p>
    <w:p w:rsidR="0026569B" w:rsidRDefault="0026569B" w:rsidP="00503C53">
      <w:pPr>
        <w:pStyle w:val="ListParagraph"/>
        <w:spacing w:line="276" w:lineRule="auto"/>
        <w:ind w:left="450"/>
      </w:pPr>
    </w:p>
    <w:p w:rsidR="00777874" w:rsidRDefault="0026569B" w:rsidP="00503C53">
      <w:pPr>
        <w:pStyle w:val="ListParagraph"/>
        <w:spacing w:line="276" w:lineRule="auto"/>
        <w:ind w:left="450"/>
        <w:rPr>
          <w:b/>
        </w:rPr>
      </w:pPr>
      <w:r w:rsidRPr="0026569B">
        <w:rPr>
          <w:b/>
        </w:rPr>
        <w:t xml:space="preserve">Method of Assessment:  </w:t>
      </w:r>
    </w:p>
    <w:p w:rsidR="0026569B" w:rsidRPr="00777874" w:rsidRDefault="00C441CC" w:rsidP="00777874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b/>
        </w:rPr>
      </w:pPr>
      <w:r>
        <w:t xml:space="preserve">Tutoring </w:t>
      </w:r>
      <w:r w:rsidRPr="0026569B">
        <w:t>login</w:t>
      </w:r>
      <w:r w:rsidR="0026569B" w:rsidRPr="0026569B">
        <w:t xml:space="preserve"> sheet</w:t>
      </w:r>
      <w:r>
        <w:t xml:space="preserve">s will provide </w:t>
      </w:r>
      <w:r w:rsidRPr="0026569B">
        <w:t>information</w:t>
      </w:r>
      <w:r>
        <w:t xml:space="preserve"> about the number of students seeking help. A satisfaction evaluation can be created and given </w:t>
      </w:r>
      <w:r w:rsidRPr="00C441CC">
        <w:rPr>
          <w:noProof/>
        </w:rPr>
        <w:t>to students</w:t>
      </w:r>
      <w:r>
        <w:t xml:space="preserve"> to help gauge their experiences with the tutor.  </w:t>
      </w:r>
    </w:p>
    <w:p w:rsidR="0026569B" w:rsidRDefault="0026569B" w:rsidP="00503C53">
      <w:pPr>
        <w:pStyle w:val="ListParagraph"/>
        <w:spacing w:line="276" w:lineRule="auto"/>
        <w:ind w:left="450"/>
        <w:rPr>
          <w:b/>
        </w:rPr>
      </w:pPr>
    </w:p>
    <w:p w:rsidR="0026569B" w:rsidRDefault="0026569B" w:rsidP="00503C53">
      <w:pPr>
        <w:pStyle w:val="ListParagraph"/>
        <w:spacing w:line="276" w:lineRule="auto"/>
        <w:ind w:left="450"/>
        <w:rPr>
          <w:b/>
        </w:rPr>
      </w:pPr>
      <w:r>
        <w:rPr>
          <w:b/>
        </w:rPr>
        <w:t>Additional Funds Requested:</w:t>
      </w:r>
    </w:p>
    <w:p w:rsidR="00503C53" w:rsidRPr="00C441CC" w:rsidRDefault="00777874" w:rsidP="003E15ED">
      <w:pPr>
        <w:pStyle w:val="ListParagraph"/>
        <w:numPr>
          <w:ilvl w:val="0"/>
          <w:numId w:val="5"/>
        </w:numPr>
        <w:spacing w:line="276" w:lineRule="auto"/>
        <w:ind w:firstLine="0"/>
        <w:rPr>
          <w:rFonts w:ascii="Calibri"/>
        </w:rPr>
      </w:pPr>
      <w:r w:rsidRPr="00777874">
        <w:t>$1500/6 hours of tutoring</w:t>
      </w:r>
    </w:p>
    <w:p w:rsidR="00777874" w:rsidRPr="00C441CC" w:rsidRDefault="00C441CC" w:rsidP="00C441CC">
      <w:pPr>
        <w:pStyle w:val="ListParagraph"/>
        <w:numPr>
          <w:ilvl w:val="0"/>
          <w:numId w:val="5"/>
        </w:numPr>
        <w:spacing w:line="276" w:lineRule="auto"/>
        <w:ind w:left="810"/>
        <w:rPr>
          <w:rFonts w:ascii="Calibri"/>
        </w:rPr>
      </w:pPr>
      <w:r>
        <w:rPr>
          <w:noProof/>
        </w:rPr>
        <w:t>The Department is</w:t>
      </w:r>
      <w:r w:rsidR="00777874" w:rsidRPr="00C441CC">
        <w:rPr>
          <w:noProof/>
        </w:rPr>
        <w:t xml:space="preserve"> requesting</w:t>
      </w:r>
      <w:r w:rsidR="00777874" w:rsidRPr="00777874">
        <w:t xml:space="preserve"> minimally one </w:t>
      </w:r>
      <w:r w:rsidR="00777874" w:rsidRPr="00C441CC">
        <w:rPr>
          <w:noProof/>
        </w:rPr>
        <w:t>additional</w:t>
      </w:r>
      <w:r w:rsidR="00777874" w:rsidRPr="00777874">
        <w:t xml:space="preserve"> tutor to help meet the needs of students that take </w:t>
      </w:r>
      <w:r w:rsidR="00777874" w:rsidRPr="00C441CC">
        <w:rPr>
          <w:noProof/>
        </w:rPr>
        <w:t>evening</w:t>
      </w:r>
      <w:r>
        <w:rPr>
          <w:noProof/>
        </w:rPr>
        <w:t>,</w:t>
      </w:r>
      <w:r w:rsidR="00777874" w:rsidRPr="00777874">
        <w:t xml:space="preserve"> classes. </w:t>
      </w:r>
    </w:p>
    <w:p w:rsidR="00503C53" w:rsidRPr="00503C53" w:rsidRDefault="00503C53" w:rsidP="00503C53">
      <w:pPr>
        <w:spacing w:line="278" w:lineRule="auto"/>
        <w:ind w:left="90" w:right="143"/>
        <w:rPr>
          <w:rFonts w:ascii="Calibri"/>
          <w:b/>
        </w:rPr>
      </w:pPr>
    </w:p>
    <w:p w:rsidR="00503C53" w:rsidRPr="00503C53" w:rsidRDefault="00503C53" w:rsidP="00777874">
      <w:pPr>
        <w:pStyle w:val="ListParagraph"/>
        <w:spacing w:line="278" w:lineRule="auto"/>
        <w:ind w:left="450" w:right="143"/>
        <w:rPr>
          <w:rFonts w:ascii="Calibri" w:eastAsia="Calibri" w:hAnsi="Calibri" w:cs="Calibri"/>
        </w:rPr>
      </w:pPr>
      <w:r w:rsidRPr="00503C53">
        <w:rPr>
          <w:rFonts w:ascii="Calibri"/>
          <w:b/>
        </w:rPr>
        <w:t>Goal 2: Provide training to faculty members as the college prepares to implement its QEP, which focuses on remedial math</w:t>
      </w:r>
      <w:r w:rsidRPr="00503C53">
        <w:rPr>
          <w:rFonts w:ascii="Calibri"/>
          <w:b/>
          <w:spacing w:val="-14"/>
        </w:rPr>
        <w:t xml:space="preserve"> </w:t>
      </w:r>
      <w:r w:rsidRPr="00503C53">
        <w:rPr>
          <w:rFonts w:ascii="Calibri"/>
          <w:b/>
        </w:rPr>
        <w:t>courses</w:t>
      </w:r>
    </w:p>
    <w:p w:rsidR="00503C53" w:rsidRDefault="00503C53" w:rsidP="00503C53">
      <w:pPr>
        <w:pStyle w:val="BodyText"/>
        <w:spacing w:before="195" w:line="276" w:lineRule="auto"/>
        <w:ind w:left="450" w:right="143"/>
      </w:pPr>
      <w:r w:rsidRPr="00503C53">
        <w:rPr>
          <w:b/>
        </w:rPr>
        <w:t>Objective:</w:t>
      </w:r>
      <w:r>
        <w:t xml:space="preserve"> Create a symposium or other training avenue to train instructors on proper methods and strategies for </w:t>
      </w:r>
      <w:r w:rsidRPr="00C441CC">
        <w:rPr>
          <w:noProof/>
        </w:rPr>
        <w:t>implementing</w:t>
      </w:r>
      <w:r>
        <w:t xml:space="preserve"> math 098S and m</w:t>
      </w:r>
      <w:r w:rsidR="0026569B">
        <w:t xml:space="preserve">ath 100S in conjunction with the </w:t>
      </w:r>
      <w:r>
        <w:rPr>
          <w:spacing w:val="-27"/>
        </w:rPr>
        <w:t xml:space="preserve"> </w:t>
      </w:r>
      <w:r>
        <w:t>QEP</w:t>
      </w:r>
      <w:r w:rsidR="0026569B">
        <w:t xml:space="preserve"> pilot </w:t>
      </w:r>
      <w:r w:rsidR="0026569B">
        <w:lastRenderedPageBreak/>
        <w:t>courses</w:t>
      </w:r>
      <w:r>
        <w:t>.</w:t>
      </w:r>
    </w:p>
    <w:p w:rsidR="00503C53" w:rsidRDefault="00503C53" w:rsidP="00503C53">
      <w:pPr>
        <w:pStyle w:val="BodyText"/>
        <w:spacing w:before="197" w:line="278" w:lineRule="auto"/>
        <w:ind w:left="450" w:right="438"/>
      </w:pPr>
      <w:r w:rsidRPr="00C441CC">
        <w:rPr>
          <w:b/>
          <w:noProof/>
        </w:rPr>
        <w:t>Method of Assessment</w:t>
      </w:r>
      <w:r w:rsidRPr="00C441CC">
        <w:rPr>
          <w:noProof/>
        </w:rPr>
        <w:t xml:space="preserve">:  Working closely with the QEP </w:t>
      </w:r>
      <w:r w:rsidR="0026569B" w:rsidRPr="00C441CC">
        <w:rPr>
          <w:noProof/>
        </w:rPr>
        <w:t>full</w:t>
      </w:r>
      <w:r w:rsidR="00C441CC" w:rsidRPr="00C441CC">
        <w:rPr>
          <w:noProof/>
        </w:rPr>
        <w:t xml:space="preserve"> </w:t>
      </w:r>
      <w:r w:rsidR="0026569B" w:rsidRPr="00C441CC">
        <w:rPr>
          <w:noProof/>
        </w:rPr>
        <w:t>time instructor and other committee members</w:t>
      </w:r>
      <w:r w:rsidRPr="00C441CC">
        <w:rPr>
          <w:noProof/>
        </w:rPr>
        <w:t xml:space="preserve">, the math department will formulate a training plan (ideally for both </w:t>
      </w:r>
      <w:r w:rsidRPr="001010D1">
        <w:rPr>
          <w:noProof/>
        </w:rPr>
        <w:t>fulltime</w:t>
      </w:r>
      <w:r w:rsidRPr="00C441CC">
        <w:rPr>
          <w:noProof/>
        </w:rPr>
        <w:t xml:space="preserve"> and part-time instructors) on methods of improving teaching and promoting student success in developmental math</w:t>
      </w:r>
      <w:r w:rsidRPr="00C441CC">
        <w:rPr>
          <w:noProof/>
          <w:spacing w:val="-26"/>
        </w:rPr>
        <w:t xml:space="preserve"> </w:t>
      </w:r>
      <w:r w:rsidRPr="00C441CC">
        <w:rPr>
          <w:noProof/>
        </w:rPr>
        <w:t>classes.</w:t>
      </w:r>
    </w:p>
    <w:p w:rsidR="00503C53" w:rsidRDefault="00503C53" w:rsidP="00503C53">
      <w:pPr>
        <w:pStyle w:val="BodyText"/>
        <w:spacing w:before="195" w:line="276" w:lineRule="auto"/>
        <w:ind w:left="450" w:right="143"/>
      </w:pPr>
      <w:r w:rsidRPr="00503C53">
        <w:rPr>
          <w:b/>
        </w:rPr>
        <w:t>Additional Funding</w:t>
      </w:r>
      <w:r>
        <w:t xml:space="preserve">: The estimated funding for this symposium is $5,000.00. This estimate could change based </w:t>
      </w:r>
      <w:r w:rsidRPr="00C441CC">
        <w:rPr>
          <w:noProof/>
        </w:rPr>
        <w:t>upon</w:t>
      </w:r>
      <w:r>
        <w:t xml:space="preserve"> feedback received from the QEP Implementation Committee. Any adjustments will be reported during the midterm goals progress reporting</w:t>
      </w:r>
      <w:r>
        <w:rPr>
          <w:spacing w:val="-17"/>
        </w:rPr>
        <w:t xml:space="preserve"> </w:t>
      </w:r>
      <w:r>
        <w:t>period.</w:t>
      </w:r>
    </w:p>
    <w:p w:rsidR="00503C53" w:rsidRDefault="00503C53" w:rsidP="00503C53">
      <w:pPr>
        <w:pStyle w:val="ListParagraph"/>
        <w:spacing w:line="276" w:lineRule="auto"/>
        <w:ind w:left="450"/>
      </w:pPr>
    </w:p>
    <w:p w:rsidR="00503C53" w:rsidRDefault="00503C53" w:rsidP="00503C53">
      <w:pPr>
        <w:pStyle w:val="ListParagraph"/>
        <w:spacing w:line="276" w:lineRule="auto"/>
        <w:ind w:left="450"/>
      </w:pPr>
    </w:p>
    <w:p w:rsidR="00503C53" w:rsidRDefault="00503C53" w:rsidP="0026569B">
      <w:pPr>
        <w:spacing w:line="276" w:lineRule="auto"/>
      </w:pPr>
    </w:p>
    <w:p w:rsidR="007D0012" w:rsidRDefault="007D0012"/>
    <w:sectPr w:rsidR="007D0012" w:rsidSect="007778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FF" w:rsidRDefault="006036FF">
      <w:r>
        <w:separator/>
      </w:r>
    </w:p>
  </w:endnote>
  <w:endnote w:type="continuationSeparator" w:id="0">
    <w:p w:rsidR="006036FF" w:rsidRDefault="0060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F2" w:rsidRDefault="00603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FF" w:rsidRDefault="006036FF">
      <w:r>
        <w:separator/>
      </w:r>
    </w:p>
  </w:footnote>
  <w:footnote w:type="continuationSeparator" w:id="0">
    <w:p w:rsidR="006036FF" w:rsidRDefault="0060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4F"/>
    <w:multiLevelType w:val="hybridMultilevel"/>
    <w:tmpl w:val="AAD896F0"/>
    <w:lvl w:ilvl="0" w:tplc="DD989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4C2"/>
    <w:multiLevelType w:val="hybridMultilevel"/>
    <w:tmpl w:val="58D2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F8E"/>
    <w:multiLevelType w:val="hybridMultilevel"/>
    <w:tmpl w:val="A0A8C100"/>
    <w:lvl w:ilvl="0" w:tplc="63CCE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20"/>
    <w:multiLevelType w:val="hybridMultilevel"/>
    <w:tmpl w:val="1D9EB83A"/>
    <w:lvl w:ilvl="0" w:tplc="3A2C08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FE1D88"/>
    <w:multiLevelType w:val="hybridMultilevel"/>
    <w:tmpl w:val="EC180A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4001A"/>
    <w:multiLevelType w:val="hybridMultilevel"/>
    <w:tmpl w:val="58D2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43A44"/>
    <w:multiLevelType w:val="hybridMultilevel"/>
    <w:tmpl w:val="F528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506D9"/>
    <w:multiLevelType w:val="hybridMultilevel"/>
    <w:tmpl w:val="70DA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AA"/>
    <w:multiLevelType w:val="hybridMultilevel"/>
    <w:tmpl w:val="D45EBA80"/>
    <w:lvl w:ilvl="0" w:tplc="55AE4BE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72EEFA">
      <w:start w:val="1"/>
      <w:numFmt w:val="decimal"/>
      <w:lvlText w:val="%2."/>
      <w:lvlJc w:val="left"/>
      <w:pPr>
        <w:ind w:left="1180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 w:tplc="927E8D4E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631A46A4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8220AEE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3AEE07C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018E040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B08671B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232E050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zMDI2NgQCE0tLYyUdpeDU4uLM/DyQAsNaACs7yxMsAAAA"/>
  </w:docVars>
  <w:rsids>
    <w:rsidRoot w:val="00503C53"/>
    <w:rsid w:val="001010D1"/>
    <w:rsid w:val="0026569B"/>
    <w:rsid w:val="00296507"/>
    <w:rsid w:val="00503C53"/>
    <w:rsid w:val="005C3036"/>
    <w:rsid w:val="006036FF"/>
    <w:rsid w:val="00650224"/>
    <w:rsid w:val="007356D6"/>
    <w:rsid w:val="00777874"/>
    <w:rsid w:val="007D0012"/>
    <w:rsid w:val="00C441CC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C5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03C53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3C53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03C53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03C53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03C53"/>
  </w:style>
  <w:style w:type="table" w:styleId="TableGrid">
    <w:name w:val="Table Grid"/>
    <w:basedOn w:val="TableNormal"/>
    <w:uiPriority w:val="59"/>
    <w:rsid w:val="0050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C5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03C53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3C53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03C53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03C53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03C53"/>
  </w:style>
  <w:style w:type="table" w:styleId="TableGrid">
    <w:name w:val="Table Grid"/>
    <w:basedOn w:val="TableNormal"/>
    <w:uiPriority w:val="59"/>
    <w:rsid w:val="0050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Chart 1. </a:t>
            </a:r>
            <a:r>
              <a:rPr lang="en-US" sz="1100"/>
              <a:t>Math</a:t>
            </a:r>
            <a:r>
              <a:rPr lang="en-US" sz="1100" baseline="0"/>
              <a:t> Course Enrollment Trends for 2013 -2014 to 2014-2015</a:t>
            </a:r>
            <a:endParaRPr lang="en-US" sz="1100"/>
          </a:p>
        </c:rich>
      </c:tx>
      <c:layout>
        <c:manualLayout>
          <c:xMode val="edge"/>
          <c:yMode val="edge"/>
          <c:x val="0.10430555555555554"/>
          <c:y val="1.851851851851851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Sheet1!$Q$62</c:f>
              <c:strCache>
                <c:ptCount val="1"/>
                <c:pt idx="0">
                  <c:v>MTH 090</c:v>
                </c:pt>
              </c:strCache>
            </c:strRef>
          </c:tx>
          <c:invertIfNegative val="0"/>
          <c:val>
            <c:numRef>
              <c:f>Sheet1!$R$62</c:f>
              <c:numCache>
                <c:formatCode>General</c:formatCode>
                <c:ptCount val="1"/>
                <c:pt idx="0">
                  <c:v>-1.4285714285714286</c:v>
                </c:pt>
              </c:numCache>
            </c:numRef>
          </c:val>
        </c:ser>
        <c:ser>
          <c:idx val="1"/>
          <c:order val="1"/>
          <c:tx>
            <c:strRef>
              <c:f>Sheet1!$Q$63</c:f>
              <c:strCache>
                <c:ptCount val="1"/>
                <c:pt idx="0">
                  <c:v>MTH 098</c:v>
                </c:pt>
              </c:strCache>
            </c:strRef>
          </c:tx>
          <c:invertIfNegative val="0"/>
          <c:val>
            <c:numRef>
              <c:f>Sheet1!$R$63</c:f>
              <c:numCache>
                <c:formatCode>General</c:formatCode>
                <c:ptCount val="1"/>
                <c:pt idx="0">
                  <c:v>-8.6294416243654819</c:v>
                </c:pt>
              </c:numCache>
            </c:numRef>
          </c:val>
        </c:ser>
        <c:ser>
          <c:idx val="2"/>
          <c:order val="2"/>
          <c:tx>
            <c:strRef>
              <c:f>Sheet1!$Q$64</c:f>
              <c:strCache>
                <c:ptCount val="1"/>
                <c:pt idx="0">
                  <c:v>MTH 100</c:v>
                </c:pt>
              </c:strCache>
            </c:strRef>
          </c:tx>
          <c:invertIfNegative val="0"/>
          <c:val>
            <c:numRef>
              <c:f>Sheet1!$R$64</c:f>
              <c:numCache>
                <c:formatCode>General</c:formatCode>
                <c:ptCount val="1"/>
                <c:pt idx="0">
                  <c:v>-7.1001494768310911</c:v>
                </c:pt>
              </c:numCache>
            </c:numRef>
          </c:val>
        </c:ser>
        <c:ser>
          <c:idx val="3"/>
          <c:order val="3"/>
          <c:tx>
            <c:strRef>
              <c:f>Sheet1!$Q$65</c:f>
              <c:strCache>
                <c:ptCount val="1"/>
                <c:pt idx="0">
                  <c:v>MTH 110</c:v>
                </c:pt>
              </c:strCache>
            </c:strRef>
          </c:tx>
          <c:invertIfNegative val="0"/>
          <c:val>
            <c:numRef>
              <c:f>Sheet1!$R$65</c:f>
              <c:numCache>
                <c:formatCode>General</c:formatCode>
                <c:ptCount val="1"/>
                <c:pt idx="0">
                  <c:v>-3.5502958579881656</c:v>
                </c:pt>
              </c:numCache>
            </c:numRef>
          </c:val>
        </c:ser>
        <c:ser>
          <c:idx val="4"/>
          <c:order val="4"/>
          <c:tx>
            <c:strRef>
              <c:f>Sheet1!$Q$66</c:f>
              <c:strCache>
                <c:ptCount val="1"/>
                <c:pt idx="0">
                  <c:v>MTH 112</c:v>
                </c:pt>
              </c:strCache>
            </c:strRef>
          </c:tx>
          <c:invertIfNegative val="0"/>
          <c:val>
            <c:numRef>
              <c:f>Sheet1!$R$66</c:f>
              <c:numCache>
                <c:formatCode>General</c:formatCode>
                <c:ptCount val="1"/>
                <c:pt idx="0">
                  <c:v>-26.857142857142858</c:v>
                </c:pt>
              </c:numCache>
            </c:numRef>
          </c:val>
        </c:ser>
        <c:ser>
          <c:idx val="5"/>
          <c:order val="5"/>
          <c:tx>
            <c:strRef>
              <c:f>Sheet1!$Q$67</c:f>
              <c:strCache>
                <c:ptCount val="1"/>
                <c:pt idx="0">
                  <c:v>MTH 113</c:v>
                </c:pt>
              </c:strCache>
            </c:strRef>
          </c:tx>
          <c:invertIfNegative val="0"/>
          <c:val>
            <c:numRef>
              <c:f>Sheet1!$R$67</c:f>
              <c:numCache>
                <c:formatCode>General</c:formatCode>
                <c:ptCount val="1"/>
                <c:pt idx="0">
                  <c:v>-34.662576687116562</c:v>
                </c:pt>
              </c:numCache>
            </c:numRef>
          </c:val>
        </c:ser>
        <c:ser>
          <c:idx val="6"/>
          <c:order val="6"/>
          <c:tx>
            <c:strRef>
              <c:f>Sheet1!$Q$68</c:f>
              <c:strCache>
                <c:ptCount val="1"/>
                <c:pt idx="0">
                  <c:v>MTH 116</c:v>
                </c:pt>
              </c:strCache>
            </c:strRef>
          </c:tx>
          <c:invertIfNegative val="0"/>
          <c:val>
            <c:numRef>
              <c:f>Sheet1!$R$68</c:f>
              <c:numCache>
                <c:formatCode>General</c:formatCode>
                <c:ptCount val="1"/>
                <c:pt idx="0">
                  <c:v>-34.615384615384613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96288"/>
        <c:axId val="71602176"/>
      </c:barChart>
      <c:catAx>
        <c:axId val="71596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71602176"/>
        <c:crosses val="autoZero"/>
        <c:auto val="1"/>
        <c:lblAlgn val="ctr"/>
        <c:lblOffset val="100"/>
        <c:noMultiLvlLbl val="0"/>
      </c:catAx>
      <c:valAx>
        <c:axId val="71602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Chage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59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Chart</a:t>
            </a:r>
            <a:r>
              <a:rPr lang="en-US" sz="1100" baseline="0"/>
              <a:t> </a:t>
            </a:r>
            <a:r>
              <a:rPr lang="en-US" sz="1100"/>
              <a:t> 2. Math</a:t>
            </a:r>
            <a:r>
              <a:rPr lang="en-US" sz="1100" baseline="0"/>
              <a:t> Course </a:t>
            </a:r>
            <a:r>
              <a:rPr lang="en-US" sz="1100"/>
              <a:t>Enrollment Trend</a:t>
            </a:r>
            <a:r>
              <a:rPr lang="en-US" sz="1100" baseline="0"/>
              <a:t>s for 2013-2014 to 2014-2015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Sheet1!$Q$69</c:f>
              <c:strCache>
                <c:ptCount val="1"/>
                <c:pt idx="0">
                  <c:v>MTH 120</c:v>
                </c:pt>
              </c:strCache>
            </c:strRef>
          </c:tx>
          <c:invertIfNegative val="0"/>
          <c:val>
            <c:numRef>
              <c:f>Sheet1!$R$69</c:f>
              <c:numCache>
                <c:formatCode>General</c:formatCode>
                <c:ptCount val="1"/>
                <c:pt idx="0">
                  <c:v>19.696969696969695</c:v>
                </c:pt>
              </c:numCache>
            </c:numRef>
          </c:val>
        </c:ser>
        <c:ser>
          <c:idx val="1"/>
          <c:order val="1"/>
          <c:tx>
            <c:strRef>
              <c:f>Sheet1!$Q$70</c:f>
              <c:strCache>
                <c:ptCount val="1"/>
                <c:pt idx="0">
                  <c:v>MTH125S</c:v>
                </c:pt>
              </c:strCache>
            </c:strRef>
          </c:tx>
          <c:invertIfNegative val="0"/>
          <c:val>
            <c:numRef>
              <c:f>Sheet1!$R$70</c:f>
              <c:numCache>
                <c:formatCode>General</c:formatCode>
                <c:ptCount val="1"/>
                <c:pt idx="0">
                  <c:v>5.5555555555555554</c:v>
                </c:pt>
              </c:numCache>
            </c:numRef>
          </c:val>
        </c:ser>
        <c:ser>
          <c:idx val="2"/>
          <c:order val="2"/>
          <c:tx>
            <c:strRef>
              <c:f>Sheet1!$Q$71</c:f>
              <c:strCache>
                <c:ptCount val="1"/>
                <c:pt idx="0">
                  <c:v>MTH126S</c:v>
                </c:pt>
              </c:strCache>
            </c:strRef>
          </c:tx>
          <c:invertIfNegative val="0"/>
          <c:val>
            <c:numRef>
              <c:f>Sheet1!$R$71</c:f>
              <c:numCache>
                <c:formatCode>General</c:formatCode>
                <c:ptCount val="1"/>
                <c:pt idx="0">
                  <c:v>36.363636363636367</c:v>
                </c:pt>
              </c:numCache>
            </c:numRef>
          </c:val>
        </c:ser>
        <c:ser>
          <c:idx val="3"/>
          <c:order val="3"/>
          <c:tx>
            <c:strRef>
              <c:f>Sheet1!$Q$72</c:f>
              <c:strCache>
                <c:ptCount val="1"/>
                <c:pt idx="0">
                  <c:v>MTH 227</c:v>
                </c:pt>
              </c:strCache>
            </c:strRef>
          </c:tx>
          <c:invertIfNegative val="0"/>
          <c:val>
            <c:numRef>
              <c:f>Sheet1!$R$72</c:f>
              <c:numCache>
                <c:formatCode>General</c:formatCode>
                <c:ptCount val="1"/>
                <c:pt idx="0">
                  <c:v>16.666666666666664</c:v>
                </c:pt>
              </c:numCache>
            </c:numRef>
          </c:val>
        </c:ser>
        <c:ser>
          <c:idx val="4"/>
          <c:order val="4"/>
          <c:tx>
            <c:strRef>
              <c:f>Sheet1!$Q$73</c:f>
              <c:strCache>
                <c:ptCount val="1"/>
                <c:pt idx="0">
                  <c:v>MTH 238</c:v>
                </c:pt>
              </c:strCache>
            </c:strRef>
          </c:tx>
          <c:invertIfNegative val="0"/>
          <c:val>
            <c:numRef>
              <c:f>Sheet1!$R$73</c:f>
              <c:numCache>
                <c:formatCode>General</c:formatCode>
                <c:ptCount val="1"/>
                <c:pt idx="0">
                  <c:v>55.555555555555557</c:v>
                </c:pt>
              </c:numCache>
            </c:numRef>
          </c:val>
        </c:ser>
        <c:ser>
          <c:idx val="5"/>
          <c:order val="5"/>
          <c:tx>
            <c:strRef>
              <c:f>Sheet1!$Q$74</c:f>
              <c:strCache>
                <c:ptCount val="1"/>
                <c:pt idx="0">
                  <c:v>MTH 265</c:v>
                </c:pt>
              </c:strCache>
            </c:strRef>
          </c:tx>
          <c:invertIfNegative val="0"/>
          <c:val>
            <c:numRef>
              <c:f>Sheet1!$R$74</c:f>
              <c:numCache>
                <c:formatCode>General</c:formatCode>
                <c:ptCount val="1"/>
                <c:pt idx="0">
                  <c:v>-6.2200956937799043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020544"/>
        <c:axId val="93022080"/>
      </c:barChart>
      <c:catAx>
        <c:axId val="93020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3022080"/>
        <c:crosses val="autoZero"/>
        <c:auto val="1"/>
        <c:lblAlgn val="ctr"/>
        <c:lblOffset val="100"/>
        <c:noMultiLvlLbl val="0"/>
      </c:catAx>
      <c:valAx>
        <c:axId val="93022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Change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02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 Marshall</dc:creator>
  <cp:lastModifiedBy>Liesl Harris</cp:lastModifiedBy>
  <cp:revision>2</cp:revision>
  <dcterms:created xsi:type="dcterms:W3CDTF">2015-09-25T13:18:00Z</dcterms:created>
  <dcterms:modified xsi:type="dcterms:W3CDTF">2015-09-25T13:18:00Z</dcterms:modified>
</cp:coreProperties>
</file>