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5B4D5BA2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B207992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A5C20C" wp14:editId="79121688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37E4B054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47D910AE" w14:textId="77777777" w:rsidTr="00F26A57">
        <w:tc>
          <w:tcPr>
            <w:tcW w:w="1291" w:type="dxa"/>
          </w:tcPr>
          <w:p w14:paraId="41C13CE1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2D495436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130789A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6B8F95BE" w14:textId="77777777" w:rsidR="006324AB" w:rsidRDefault="006324AB" w:rsidP="007B0814">
            <w:pPr>
              <w:rPr>
                <w:b/>
                <w:sz w:val="24"/>
                <w:szCs w:val="24"/>
              </w:rPr>
            </w:pPr>
          </w:p>
          <w:p w14:paraId="7E708624" w14:textId="77777777" w:rsidR="006324AB" w:rsidRDefault="006324AB" w:rsidP="007B0814">
            <w:pPr>
              <w:rPr>
                <w:b/>
                <w:sz w:val="24"/>
                <w:szCs w:val="24"/>
              </w:rPr>
            </w:pPr>
          </w:p>
          <w:p w14:paraId="3DD7177A" w14:textId="77777777" w:rsidR="00F26A57" w:rsidRPr="00B81C69" w:rsidRDefault="001C6D5E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Laboratory Technology</w:t>
            </w:r>
          </w:p>
        </w:tc>
        <w:tc>
          <w:tcPr>
            <w:tcW w:w="2610" w:type="dxa"/>
            <w:gridSpan w:val="2"/>
          </w:tcPr>
          <w:p w14:paraId="7FAC7BA8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1710E228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DC0D166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692E3116" w14:textId="77777777" w:rsidR="006324AB" w:rsidRDefault="006324AB" w:rsidP="007B0814">
            <w:pPr>
              <w:rPr>
                <w:b/>
                <w:sz w:val="24"/>
                <w:szCs w:val="24"/>
              </w:rPr>
            </w:pPr>
          </w:p>
          <w:p w14:paraId="2C1DFCB9" w14:textId="77777777" w:rsidR="006324AB" w:rsidRDefault="006324AB" w:rsidP="007B0814">
            <w:pPr>
              <w:rPr>
                <w:b/>
                <w:sz w:val="24"/>
                <w:szCs w:val="24"/>
              </w:rPr>
            </w:pPr>
          </w:p>
          <w:p w14:paraId="157515FC" w14:textId="3A6319F2" w:rsidR="00F26A57" w:rsidRPr="00B81C69" w:rsidRDefault="006324AB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37246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-201</w:t>
            </w:r>
            <w:r w:rsidR="0037246F">
              <w:rPr>
                <w:b/>
                <w:sz w:val="24"/>
                <w:szCs w:val="24"/>
              </w:rPr>
              <w:t>9</w:t>
            </w:r>
          </w:p>
        </w:tc>
      </w:tr>
    </w:tbl>
    <w:p w14:paraId="6D61BC86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5"/>
        <w:gridCol w:w="3261"/>
        <w:gridCol w:w="3205"/>
        <w:gridCol w:w="3243"/>
      </w:tblGrid>
      <w:tr w:rsidR="00F26A57" w:rsidRPr="00D554AC" w14:paraId="29EAAFEC" w14:textId="77777777" w:rsidTr="00E312BD">
        <w:tc>
          <w:tcPr>
            <w:tcW w:w="12944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598A4E4C" w14:textId="77777777"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14:paraId="3D737D15" w14:textId="77777777" w:rsidTr="00E312BD">
        <w:trPr>
          <w:trHeight w:val="54"/>
        </w:trPr>
        <w:tc>
          <w:tcPr>
            <w:tcW w:w="323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6BC34F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6030679E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61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3C0401E6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05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00C9A4CF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52C43AEB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43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4D15192C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8611BD" w14:paraId="34D4454D" w14:textId="77777777" w:rsidTr="00E312BD">
        <w:trPr>
          <w:trHeight w:val="54"/>
        </w:trPr>
        <w:tc>
          <w:tcPr>
            <w:tcW w:w="3235" w:type="dxa"/>
          </w:tcPr>
          <w:p w14:paraId="2EB8C49E" w14:textId="77777777" w:rsidR="00C643DE" w:rsidRPr="00FE6797" w:rsidRDefault="00C643DE" w:rsidP="00C643DE">
            <w:r>
              <w:t>Provide necessary equipment and reagents to teach entry level skills keeping abreast with new technology.</w:t>
            </w:r>
          </w:p>
          <w:p w14:paraId="015BB745" w14:textId="77777777" w:rsidR="00C643DE" w:rsidRPr="005F2E8E" w:rsidRDefault="00C643DE" w:rsidP="00C643DE">
            <w:pPr>
              <w:rPr>
                <w:b/>
              </w:rPr>
            </w:pPr>
            <w:r w:rsidRPr="005F2E8E">
              <w:rPr>
                <w:b/>
              </w:rPr>
              <w:t>Program Outcome</w:t>
            </w:r>
          </w:p>
          <w:p w14:paraId="36928BB0" w14:textId="77777777" w:rsidR="00C643DE" w:rsidRDefault="00C643DE" w:rsidP="00C643DE">
            <w:r>
              <w:t>#1. 70% of students admitted to the MLT program will complete as technically competent individuals ready to enter the laboratory workforce</w:t>
            </w:r>
          </w:p>
          <w:p w14:paraId="3A2C7631" w14:textId="77777777" w:rsidR="008611BD" w:rsidRDefault="008611BD" w:rsidP="008611BD"/>
          <w:p w14:paraId="78C26F87" w14:textId="77777777" w:rsidR="00C643DE" w:rsidRDefault="00C643DE" w:rsidP="008611BD"/>
          <w:p w14:paraId="0EA44562" w14:textId="77777777" w:rsidR="00C643DE" w:rsidRDefault="00C643DE" w:rsidP="008611BD"/>
          <w:p w14:paraId="47913E90" w14:textId="77777777" w:rsidR="00C643DE" w:rsidRDefault="00C643DE" w:rsidP="008611BD"/>
          <w:p w14:paraId="430B5312" w14:textId="77777777" w:rsidR="00C643DE" w:rsidRDefault="00C643DE" w:rsidP="008611BD"/>
          <w:p w14:paraId="2A475256" w14:textId="77777777" w:rsidR="00C643DE" w:rsidRDefault="00C643DE" w:rsidP="008611BD"/>
          <w:p w14:paraId="12926F24" w14:textId="247EA9DD" w:rsidR="00C643DE" w:rsidRPr="004C37B5" w:rsidRDefault="00C643DE" w:rsidP="008611BD"/>
        </w:tc>
        <w:tc>
          <w:tcPr>
            <w:tcW w:w="3261" w:type="dxa"/>
          </w:tcPr>
          <w:p w14:paraId="35EB080A" w14:textId="77777777" w:rsidR="00C643DE" w:rsidRDefault="00C643DE" w:rsidP="00C643DE">
            <w:r>
              <w:t xml:space="preserve">1. Purchase the necessary equipment and supplies to provide high quality campus laboratory experiences. </w:t>
            </w:r>
          </w:p>
          <w:p w14:paraId="6AD5B2D9" w14:textId="77777777" w:rsidR="008611BD" w:rsidRDefault="00C643DE" w:rsidP="00C643DE">
            <w:r w:rsidRPr="005A01F0">
              <w:t xml:space="preserve">2. </w:t>
            </w:r>
            <w:r>
              <w:t>Maintain e</w:t>
            </w:r>
            <w:r w:rsidRPr="005A01F0">
              <w:t xml:space="preserve">quipment for </w:t>
            </w:r>
            <w:r>
              <w:t>adequate student learning objectives.</w:t>
            </w:r>
          </w:p>
          <w:p w14:paraId="16BE69C2" w14:textId="66A76A20" w:rsidR="0037246F" w:rsidRPr="004C37B5" w:rsidRDefault="0037246F" w:rsidP="00C643DE">
            <w:r>
              <w:t>3. Purchase necessary equipment to maintain the Phlebotomy and MLT Short Certificate programs</w:t>
            </w:r>
          </w:p>
        </w:tc>
        <w:tc>
          <w:tcPr>
            <w:tcW w:w="3205" w:type="dxa"/>
          </w:tcPr>
          <w:p w14:paraId="21EBFB5D" w14:textId="52D88AE4" w:rsidR="00662CDC" w:rsidRDefault="00662CDC" w:rsidP="00662CDC">
            <w:pPr>
              <w:ind w:left="-108"/>
            </w:pPr>
            <w:r>
              <w:t>This goal was completed.</w:t>
            </w:r>
          </w:p>
          <w:p w14:paraId="7516E7FD" w14:textId="77777777" w:rsidR="00D14F1B" w:rsidRDefault="00D14F1B" w:rsidP="00662CDC">
            <w:pPr>
              <w:ind w:left="-108"/>
            </w:pPr>
          </w:p>
          <w:p w14:paraId="0ACEC083" w14:textId="77777777" w:rsidR="00662CDC" w:rsidRDefault="00662CDC" w:rsidP="00662CDC">
            <w:pPr>
              <w:ind w:left="-108"/>
            </w:pPr>
            <w:r>
              <w:t>We were granted approval to purchase all expendable supplies needed for instruction this year.</w:t>
            </w:r>
          </w:p>
          <w:p w14:paraId="38BC0EC6" w14:textId="5855229F" w:rsidR="00662CDC" w:rsidRDefault="00662CDC" w:rsidP="00662CDC">
            <w:pPr>
              <w:ind w:left="-108"/>
            </w:pPr>
            <w:r>
              <w:t>Funding.</w:t>
            </w:r>
          </w:p>
          <w:p w14:paraId="218F89B7" w14:textId="77777777" w:rsidR="00D14F1B" w:rsidRDefault="00D14F1B" w:rsidP="00364FC7">
            <w:pPr>
              <w:ind w:left="-108"/>
            </w:pPr>
          </w:p>
          <w:p w14:paraId="1AA2E569" w14:textId="59F58FBA" w:rsidR="00364FC7" w:rsidRDefault="00364FC7" w:rsidP="00364FC7">
            <w:pPr>
              <w:ind w:left="-108"/>
            </w:pPr>
            <w:r>
              <w:t xml:space="preserve">We were approved for service on </w:t>
            </w:r>
            <w:r w:rsidR="00C643DE">
              <w:t>one</w:t>
            </w:r>
            <w:r>
              <w:t xml:space="preserve"> of our RX Monza’s used in Chemistry labs</w:t>
            </w:r>
            <w:r w:rsidR="00B74B27">
              <w:t>.</w:t>
            </w:r>
          </w:p>
          <w:p w14:paraId="3C97B759" w14:textId="2361B6F0" w:rsidR="0037246F" w:rsidRDefault="0037246F" w:rsidP="00364FC7">
            <w:pPr>
              <w:ind w:left="-108"/>
            </w:pPr>
          </w:p>
          <w:p w14:paraId="76B3D459" w14:textId="792DCEE8" w:rsidR="0037246F" w:rsidRDefault="0037246F" w:rsidP="00364FC7">
            <w:pPr>
              <w:ind w:left="-108"/>
            </w:pPr>
            <w:r>
              <w:t>We were approved for service of microscopes</w:t>
            </w:r>
          </w:p>
          <w:p w14:paraId="4E42ABB5" w14:textId="6EC21080" w:rsidR="00B74B27" w:rsidRDefault="00B74B27" w:rsidP="00364FC7">
            <w:pPr>
              <w:ind w:left="-108"/>
            </w:pPr>
          </w:p>
          <w:p w14:paraId="76479BE6" w14:textId="50EFBEBC" w:rsidR="00D14F1B" w:rsidRDefault="0037246F" w:rsidP="00662CDC">
            <w:pPr>
              <w:ind w:left="-108"/>
            </w:pPr>
            <w:r>
              <w:t>Additional Phlebotomy training equipment</w:t>
            </w:r>
            <w:r w:rsidR="00E312BD">
              <w:t xml:space="preserve"> purchase was approved</w:t>
            </w:r>
          </w:p>
          <w:p w14:paraId="18750D1D" w14:textId="5D84CAB4" w:rsidR="00E312BD" w:rsidRDefault="00E312BD" w:rsidP="00662CDC">
            <w:pPr>
              <w:ind w:left="-108"/>
            </w:pPr>
          </w:p>
          <w:p w14:paraId="4A614BEF" w14:textId="2AF8B10B" w:rsidR="00E312BD" w:rsidRDefault="00E312BD" w:rsidP="00662CDC">
            <w:pPr>
              <w:ind w:left="-108"/>
            </w:pPr>
            <w:r>
              <w:t>Completed the installation of instructional technology in GLB 233</w:t>
            </w:r>
          </w:p>
          <w:p w14:paraId="3434AD95" w14:textId="402522BD" w:rsidR="00662CDC" w:rsidRPr="004C37B5" w:rsidRDefault="00662CDC" w:rsidP="00662CDC">
            <w:pPr>
              <w:ind w:left="-108"/>
            </w:pPr>
          </w:p>
        </w:tc>
        <w:tc>
          <w:tcPr>
            <w:tcW w:w="3243" w:type="dxa"/>
            <w:tcBorders>
              <w:top w:val="thinThickSmallGap" w:sz="12" w:space="0" w:color="auto"/>
              <w:left w:val="single" w:sz="6" w:space="0" w:color="auto"/>
            </w:tcBorders>
          </w:tcPr>
          <w:p w14:paraId="1A7FD327" w14:textId="6A61E073" w:rsidR="00D578D6" w:rsidRDefault="00B74B27" w:rsidP="00E312BD">
            <w:pPr>
              <w:ind w:left="-108"/>
            </w:pPr>
            <w:r>
              <w:lastRenderedPageBreak/>
              <w:t xml:space="preserve">Our general budget for expendable supplies continues to serve the departments needs without any increase or decrease to budgeted amounts. </w:t>
            </w:r>
            <w:r w:rsidR="00D578D6">
              <w:t xml:space="preserve">Our Chemistry Analyzers were purchased in 2012-13 with a WDG. These are beginning to show their age due to being utilized for both Chemistry and Coagulation testing. </w:t>
            </w:r>
            <w:r w:rsidR="0037246F">
              <w:t>Assessment of  repair cost did not warrant the</w:t>
            </w:r>
            <w:r w:rsidR="00D578D6">
              <w:t xml:space="preserve"> benefit of repairing two non-working instruments</w:t>
            </w:r>
            <w:r w:rsidR="0037246F">
              <w:t xml:space="preserve">. We </w:t>
            </w:r>
            <w:r w:rsidR="00D578D6">
              <w:t xml:space="preserve"> </w:t>
            </w:r>
            <w:r w:rsidR="0037246F">
              <w:t xml:space="preserve">will start </w:t>
            </w:r>
            <w:r w:rsidR="00D578D6">
              <w:t xml:space="preserve">looking at newer technology options for automated chemistry analysis. </w:t>
            </w:r>
            <w:r w:rsidR="0037246F">
              <w:t>All microscopes were serviced, and minor repairs conducted.</w:t>
            </w:r>
            <w:r w:rsidR="00D578D6">
              <w:t xml:space="preserve"> </w:t>
            </w:r>
            <w:r w:rsidR="00E312BD">
              <w:t xml:space="preserve">Additional Phlebotomy training equipment was purchased, and the completion of instructional technology </w:t>
            </w:r>
            <w:r w:rsidR="00E312BD">
              <w:lastRenderedPageBreak/>
              <w:t>completed with the mounting of the LED overhead projection.</w:t>
            </w:r>
          </w:p>
        </w:tc>
      </w:tr>
      <w:tr w:rsidR="00E312BD" w14:paraId="044D2BC2" w14:textId="77777777" w:rsidTr="00E312BD">
        <w:trPr>
          <w:trHeight w:val="5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2D85" w14:textId="77777777" w:rsidR="00E312BD" w:rsidRPr="00E312BD" w:rsidRDefault="00E312BD" w:rsidP="00E312BD">
            <w:pPr>
              <w:rPr>
                <w:rFonts w:cstheme="minorHAnsi"/>
              </w:rPr>
            </w:pPr>
            <w:r w:rsidRPr="00E312BD">
              <w:rPr>
                <w:rFonts w:cstheme="minorHAnsi"/>
              </w:rPr>
              <w:lastRenderedPageBreak/>
              <w:t>Maintain faculty offices with up-to-date hardware and software in order to provide quality instruction</w:t>
            </w:r>
          </w:p>
          <w:p w14:paraId="7DF91337" w14:textId="77777777" w:rsidR="00E312BD" w:rsidRPr="00E312BD" w:rsidRDefault="00E312BD" w:rsidP="00E312BD">
            <w:pPr>
              <w:rPr>
                <w:rFonts w:cstheme="minorHAnsi"/>
                <w:b/>
              </w:rPr>
            </w:pPr>
            <w:r w:rsidRPr="00E312BD">
              <w:rPr>
                <w:rFonts w:cstheme="minorHAnsi"/>
                <w:b/>
              </w:rPr>
              <w:t>Long Range Goal 3.2</w:t>
            </w:r>
          </w:p>
          <w:p w14:paraId="57632542" w14:textId="77777777" w:rsidR="00E312BD" w:rsidRPr="00E312BD" w:rsidRDefault="00E312BD" w:rsidP="00E312BD">
            <w:pPr>
              <w:rPr>
                <w:rFonts w:eastAsia="Times New Roman" w:cstheme="minorHAnsi"/>
              </w:rPr>
            </w:pPr>
            <w:r w:rsidRPr="00E312BD">
              <w:rPr>
                <w:rFonts w:eastAsia="Times New Roman" w:cstheme="minorHAnsi"/>
              </w:rPr>
              <w:t xml:space="preserve">Physical facilities, technological resources and other resources that promote learning. </w:t>
            </w:r>
          </w:p>
          <w:p w14:paraId="11992D9F" w14:textId="77777777" w:rsidR="00E312BD" w:rsidRPr="00E312BD" w:rsidRDefault="00E312BD" w:rsidP="00E312BD">
            <w:pPr>
              <w:rPr>
                <w:rFonts w:cstheme="minorHAnsi"/>
                <w:b/>
              </w:rPr>
            </w:pPr>
            <w:r w:rsidRPr="00E312BD">
              <w:rPr>
                <w:rFonts w:cstheme="minorHAnsi"/>
                <w:b/>
              </w:rPr>
              <w:t>NAACLS Standard III.C.</w:t>
            </w:r>
          </w:p>
          <w:p w14:paraId="3C77DBAB" w14:textId="77777777" w:rsidR="00E312BD" w:rsidRPr="00E312BD" w:rsidRDefault="00E312BD" w:rsidP="00E312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12BD">
              <w:rPr>
                <w:rFonts w:cstheme="minorHAnsi"/>
                <w:color w:val="000000"/>
              </w:rPr>
              <w:t xml:space="preserve">Physical Resources </w:t>
            </w:r>
          </w:p>
          <w:p w14:paraId="66FD4C11" w14:textId="5D32FDB8" w:rsidR="00E312BD" w:rsidRPr="00E312BD" w:rsidRDefault="00E312BD" w:rsidP="00E312BD">
            <w:pPr>
              <w:rPr>
                <w:rFonts w:cstheme="minorHAnsi"/>
              </w:rPr>
            </w:pPr>
            <w:r w:rsidRPr="00E312BD">
              <w:rPr>
                <w:rFonts w:cstheme="minorHAnsi"/>
                <w:color w:val="000000"/>
              </w:rPr>
              <w:t xml:space="preserve">Physical resources such as facilities, equipment and supplies, information resources, and instructional resources </w:t>
            </w:r>
            <w:proofErr w:type="gramStart"/>
            <w:r w:rsidRPr="00E312BD">
              <w:rPr>
                <w:rFonts w:cstheme="minorHAnsi"/>
                <w:color w:val="000000"/>
              </w:rPr>
              <w:t>sufficient</w:t>
            </w:r>
            <w:proofErr w:type="gramEnd"/>
            <w:r w:rsidRPr="00E312BD">
              <w:rPr>
                <w:rFonts w:cstheme="minorHAnsi"/>
                <w:color w:val="000000"/>
              </w:rPr>
              <w:t xml:space="preserve"> to achieve the program goals.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4" w:space="0" w:color="auto"/>
            </w:tcBorders>
          </w:tcPr>
          <w:p w14:paraId="4E583C00" w14:textId="68445E87" w:rsidR="00E312BD" w:rsidRDefault="00E312BD" w:rsidP="00E312BD">
            <w:r>
              <w:t>1. 80% or more of faculty report satisfaction with available technology resources</w:t>
            </w:r>
          </w:p>
        </w:tc>
        <w:tc>
          <w:tcPr>
            <w:tcW w:w="3205" w:type="dxa"/>
            <w:tcBorders>
              <w:left w:val="single" w:sz="4" w:space="0" w:color="auto"/>
              <w:right w:val="single" w:sz="6" w:space="0" w:color="auto"/>
            </w:tcBorders>
          </w:tcPr>
          <w:p w14:paraId="2025235A" w14:textId="40893571" w:rsidR="00E312BD" w:rsidRDefault="00E312BD" w:rsidP="00E312BD">
            <w:r>
              <w:t>This goal was completed</w:t>
            </w:r>
          </w:p>
          <w:p w14:paraId="1D4022F1" w14:textId="77777777" w:rsidR="00E312BD" w:rsidRDefault="00E312BD" w:rsidP="00E312BD"/>
          <w:p w14:paraId="2E2953C8" w14:textId="4BC9F170" w:rsidR="00E312BD" w:rsidRDefault="00E312BD" w:rsidP="00E312BD">
            <w:r>
              <w:t>1. Replace full-time faculty office desks and chairs.</w:t>
            </w:r>
          </w:p>
          <w:p w14:paraId="027FEBCA" w14:textId="77777777" w:rsidR="00E312BD" w:rsidRDefault="00E312BD" w:rsidP="00E312BD"/>
          <w:p w14:paraId="2A029F3F" w14:textId="0085467B" w:rsidR="00E312BD" w:rsidRDefault="00E312BD" w:rsidP="00E312BD">
            <w:r>
              <w:t>2. Remove carpet in MLT Break room and both instructor offices</w:t>
            </w:r>
          </w:p>
        </w:tc>
        <w:tc>
          <w:tcPr>
            <w:tcW w:w="3243" w:type="dxa"/>
            <w:tcBorders>
              <w:left w:val="single" w:sz="6" w:space="0" w:color="auto"/>
            </w:tcBorders>
          </w:tcPr>
          <w:p w14:paraId="5BC3DEF4" w14:textId="5C603103" w:rsidR="00E312BD" w:rsidRPr="003C347E" w:rsidRDefault="00E312BD" w:rsidP="00E312BD">
            <w:r>
              <w:t>Both full time faculty offices were renovated, and new office furniture purchased. The carpet was removed from the student breakroom and study area in GLB 216 and 218</w:t>
            </w:r>
          </w:p>
        </w:tc>
      </w:tr>
      <w:tr w:rsidR="00E312BD" w14:paraId="1B530FCA" w14:textId="77777777" w:rsidTr="00E312BD">
        <w:trPr>
          <w:trHeight w:val="54"/>
        </w:trPr>
        <w:tc>
          <w:tcPr>
            <w:tcW w:w="3235" w:type="dxa"/>
            <w:tcBorders>
              <w:right w:val="single" w:sz="6" w:space="0" w:color="auto"/>
            </w:tcBorders>
          </w:tcPr>
          <w:p w14:paraId="06D02491" w14:textId="77777777" w:rsidR="00E312BD" w:rsidRDefault="00E312BD" w:rsidP="00E312BD">
            <w:r w:rsidRPr="00FE6797">
              <w:t>Monitor student progress</w:t>
            </w:r>
            <w:r>
              <w:t xml:space="preserve"> with online tools that will enhance competency within the curriculum.</w:t>
            </w:r>
          </w:p>
          <w:p w14:paraId="7A178D2A" w14:textId="77777777" w:rsidR="00E312BD" w:rsidRPr="00D92E19" w:rsidRDefault="00E312BD" w:rsidP="00E312BD">
            <w:pPr>
              <w:rPr>
                <w:b/>
              </w:rPr>
            </w:pPr>
            <w:r w:rsidRPr="00D92E19">
              <w:rPr>
                <w:b/>
              </w:rPr>
              <w:t>Program Outcome</w:t>
            </w:r>
          </w:p>
          <w:p w14:paraId="2A71AFD0" w14:textId="748F70D3" w:rsidR="00E312BD" w:rsidRDefault="00E312BD" w:rsidP="00E312BD">
            <w:r>
              <w:t>#2. Graduates will take the ASCP BOC national certification exam with a pass rate at or above the NAACLS benchmark of 75%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4" w:space="0" w:color="auto"/>
            </w:tcBorders>
          </w:tcPr>
          <w:p w14:paraId="5A922972" w14:textId="77777777" w:rsidR="00E312BD" w:rsidRDefault="00E312BD" w:rsidP="00E312BD">
            <w:r>
              <w:t>1. To increase the number of students passing a national certification exam</w:t>
            </w:r>
          </w:p>
          <w:p w14:paraId="344CE82F" w14:textId="77777777" w:rsidR="00E312BD" w:rsidRDefault="00E312BD" w:rsidP="00E312BD"/>
          <w:p w14:paraId="6C43A830" w14:textId="6A924B16" w:rsidR="00E312BD" w:rsidRDefault="00E312BD" w:rsidP="00E312BD"/>
        </w:tc>
        <w:tc>
          <w:tcPr>
            <w:tcW w:w="3205" w:type="dxa"/>
            <w:tcBorders>
              <w:left w:val="single" w:sz="4" w:space="0" w:color="auto"/>
              <w:right w:val="single" w:sz="6" w:space="0" w:color="auto"/>
            </w:tcBorders>
          </w:tcPr>
          <w:p w14:paraId="7A9825C8" w14:textId="398D757A" w:rsidR="00E312BD" w:rsidRDefault="00E312BD" w:rsidP="00E312BD">
            <w:r>
              <w:t>This goal was completed</w:t>
            </w:r>
          </w:p>
        </w:tc>
        <w:tc>
          <w:tcPr>
            <w:tcW w:w="3243" w:type="dxa"/>
            <w:tcBorders>
              <w:left w:val="single" w:sz="6" w:space="0" w:color="auto"/>
            </w:tcBorders>
          </w:tcPr>
          <w:p w14:paraId="22EB77B3" w14:textId="49F7236F" w:rsidR="00E312BD" w:rsidRDefault="00E312BD" w:rsidP="00E312BD">
            <w:r>
              <w:t xml:space="preserve"> The purchase of the ASCP BOC report and Yearly subscription for </w:t>
            </w:r>
            <w:proofErr w:type="spellStart"/>
            <w:r>
              <w:t>Medtraining</w:t>
            </w:r>
            <w:proofErr w:type="spellEnd"/>
            <w:r>
              <w:t xml:space="preserve"> helps the program follow and monitor the need for curriculum changes to maintain our pass rate above NAACLS benchmark</w:t>
            </w:r>
            <w:r w:rsidR="002C4FA3">
              <w:t>.</w:t>
            </w:r>
            <w:r>
              <w:t xml:space="preserve"> </w:t>
            </w:r>
            <w:r w:rsidR="002C4FA3">
              <w:t>Current NAACLS three</w:t>
            </w:r>
            <w:r w:rsidR="006C688F">
              <w:t>-</w:t>
            </w:r>
            <w:r w:rsidR="002C4FA3">
              <w:t xml:space="preserve">year cycle </w:t>
            </w:r>
            <w:r w:rsidRPr="002C4FA3">
              <w:t>2016-2018 pass rate is 7</w:t>
            </w:r>
            <w:r w:rsidR="002C4FA3" w:rsidRPr="002C4FA3">
              <w:t>8</w:t>
            </w:r>
            <w:r w:rsidRPr="002C4FA3">
              <w:t>% which is above the NAACLS benchmark of %75.</w:t>
            </w:r>
          </w:p>
          <w:p w14:paraId="02874AF3" w14:textId="2E62E4AC" w:rsidR="00E312BD" w:rsidRDefault="00E312BD" w:rsidP="00E312BD"/>
        </w:tc>
      </w:tr>
      <w:tr w:rsidR="00E312BD" w14:paraId="4CBC95EC" w14:textId="77777777" w:rsidTr="00E312BD">
        <w:trPr>
          <w:trHeight w:val="54"/>
        </w:trPr>
        <w:tc>
          <w:tcPr>
            <w:tcW w:w="3235" w:type="dxa"/>
          </w:tcPr>
          <w:p w14:paraId="32C7173A" w14:textId="77777777" w:rsidR="00E312BD" w:rsidRDefault="00E312BD" w:rsidP="00E312BD">
            <w:r>
              <w:t>Keep abreast of changes and trends in the Laboratory Science profession to improve classroom instruction.</w:t>
            </w:r>
          </w:p>
          <w:p w14:paraId="1AD2E516" w14:textId="77777777" w:rsidR="00E312BD" w:rsidRDefault="00E312BD" w:rsidP="00E312BD">
            <w:pPr>
              <w:rPr>
                <w:rFonts w:eastAsia="Times New Roman" w:cs="Arial"/>
              </w:rPr>
            </w:pPr>
            <w:r w:rsidRPr="00D87587">
              <w:rPr>
                <w:b/>
              </w:rPr>
              <w:lastRenderedPageBreak/>
              <w:t>NAACLS Standard</w:t>
            </w:r>
            <w:r>
              <w:rPr>
                <w:b/>
              </w:rPr>
              <w:t>s</w:t>
            </w:r>
            <w:r>
              <w:t xml:space="preserve"> </w:t>
            </w:r>
            <w:r w:rsidRPr="00D87587">
              <w:rPr>
                <w:rFonts w:eastAsia="Times New Roman" w:cs="Arial"/>
              </w:rPr>
              <w:t xml:space="preserve">NAACLS standard VII.A.2.C. </w:t>
            </w:r>
            <w:r w:rsidRPr="00D87587">
              <w:rPr>
                <w:rFonts w:eastAsia="Times New Roman" w:cs="Arial"/>
                <w:b/>
              </w:rPr>
              <w:t>The program coordinator</w:t>
            </w:r>
            <w:r>
              <w:rPr>
                <w:rFonts w:eastAsia="Times New Roman" w:cs="Arial"/>
              </w:rPr>
              <w:t xml:space="preserve"> must show</w:t>
            </w:r>
          </w:p>
          <w:p w14:paraId="27AB4EBE" w14:textId="77777777" w:rsidR="00E312BD" w:rsidRPr="00D87587" w:rsidRDefault="00E312BD" w:rsidP="00E312BD">
            <w:r w:rsidRPr="00D87587">
              <w:rPr>
                <w:rFonts w:eastAsia="Times New Roman" w:cs="Arial"/>
              </w:rPr>
              <w:t>documentation of 36 CEU hours over each 3</w:t>
            </w:r>
            <w:r>
              <w:rPr>
                <w:rFonts w:eastAsia="Times New Roman" w:cs="Arial"/>
              </w:rPr>
              <w:t>-</w:t>
            </w:r>
            <w:r w:rsidRPr="00D87587">
              <w:rPr>
                <w:rFonts w:eastAsia="Times New Roman" w:cs="Arial"/>
              </w:rPr>
              <w:t xml:space="preserve">year period. </w:t>
            </w:r>
          </w:p>
          <w:p w14:paraId="71F88904" w14:textId="77777777" w:rsidR="00E312BD" w:rsidRPr="00D87587" w:rsidRDefault="00E312BD" w:rsidP="00E312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 VII.2.c.</w:t>
            </w:r>
          </w:p>
          <w:p w14:paraId="66AD4EEB" w14:textId="77777777" w:rsidR="00E312BD" w:rsidRPr="00D87587" w:rsidRDefault="00E312BD" w:rsidP="00E312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87587">
              <w:rPr>
                <w:rFonts w:asciiTheme="minorHAnsi" w:hAnsiTheme="minorHAnsi"/>
                <w:b/>
                <w:sz w:val="22"/>
                <w:szCs w:val="22"/>
              </w:rPr>
              <w:t>Di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dactic Instructor Appointments </w:t>
            </w:r>
          </w:p>
          <w:p w14:paraId="21B97FF0" w14:textId="77777777" w:rsidR="00E312BD" w:rsidRDefault="00E312BD" w:rsidP="00E312BD">
            <w:r w:rsidRPr="00D87587">
              <w:t>The program must have qualified faculty/instructors</w:t>
            </w:r>
            <w:r>
              <w:t>.</w:t>
            </w:r>
            <w:r w:rsidRPr="00D87587">
              <w:t xml:space="preserve">  The program must ensure and document ongoing professional development of th</w:t>
            </w:r>
            <w:r>
              <w:t>e program faculty/instructors.</w:t>
            </w:r>
          </w:p>
          <w:p w14:paraId="646DE99C" w14:textId="77777777" w:rsidR="00E312BD" w:rsidRDefault="00E312BD" w:rsidP="00E312BD">
            <w:pPr>
              <w:rPr>
                <w:b/>
              </w:rPr>
            </w:pPr>
            <w:r>
              <w:rPr>
                <w:b/>
              </w:rPr>
              <w:t>College Action Priority #3</w:t>
            </w:r>
          </w:p>
          <w:p w14:paraId="65B1BCB2" w14:textId="67A7F430" w:rsidR="00E312BD" w:rsidRDefault="00E312BD" w:rsidP="00E312BD">
            <w:r>
              <w:t>Increase Professional Development opportunities for faculty and staff.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4" w:space="0" w:color="auto"/>
            </w:tcBorders>
          </w:tcPr>
          <w:p w14:paraId="0EC78CC5" w14:textId="0F468A3A" w:rsidR="00E312BD" w:rsidRDefault="00E312BD" w:rsidP="00E312BD">
            <w:r>
              <w:lastRenderedPageBreak/>
              <w:t>1. Provide the MLT full-time faculty the opportunity to obtain professional development.</w:t>
            </w:r>
          </w:p>
        </w:tc>
        <w:tc>
          <w:tcPr>
            <w:tcW w:w="3205" w:type="dxa"/>
            <w:tcBorders>
              <w:left w:val="single" w:sz="4" w:space="0" w:color="auto"/>
              <w:right w:val="single" w:sz="6" w:space="0" w:color="auto"/>
            </w:tcBorders>
          </w:tcPr>
          <w:p w14:paraId="1870127F" w14:textId="057762CE" w:rsidR="00E312BD" w:rsidRDefault="00E312BD" w:rsidP="00E312BD">
            <w:r>
              <w:t>This goal was completed</w:t>
            </w:r>
          </w:p>
        </w:tc>
        <w:tc>
          <w:tcPr>
            <w:tcW w:w="3243" w:type="dxa"/>
            <w:tcBorders>
              <w:left w:val="single" w:sz="6" w:space="0" w:color="auto"/>
            </w:tcBorders>
          </w:tcPr>
          <w:p w14:paraId="71841490" w14:textId="77777777" w:rsidR="0004096C" w:rsidRDefault="0004096C" w:rsidP="0004096C">
            <w:r>
              <w:t xml:space="preserve">The program coordinator and clinical coordinator completed required continuing professional development with the purchase </w:t>
            </w:r>
            <w:r>
              <w:lastRenderedPageBreak/>
              <w:t>of online CEU opportunities through Media Lab.</w:t>
            </w:r>
          </w:p>
          <w:p w14:paraId="217A6E6A" w14:textId="25EA5518" w:rsidR="00E312BD" w:rsidRPr="002C4FA3" w:rsidRDefault="00E312BD" w:rsidP="00E312BD">
            <w:r>
              <w:t>The full</w:t>
            </w:r>
            <w:r w:rsidR="0004096C">
              <w:t>-</w:t>
            </w:r>
            <w:r>
              <w:t xml:space="preserve"> time clinical</w:t>
            </w:r>
            <w:r w:rsidR="0004096C">
              <w:t xml:space="preserve"> </w:t>
            </w:r>
            <w:r>
              <w:t xml:space="preserve">coordinator </w:t>
            </w:r>
            <w:r w:rsidR="0004096C" w:rsidRPr="002C4FA3">
              <w:t>obtained</w:t>
            </w:r>
            <w:r w:rsidRPr="002C4FA3">
              <w:t xml:space="preserve"> 6.5 CEU credits that satisfied the NAACLS requirement</w:t>
            </w:r>
          </w:p>
          <w:p w14:paraId="0A39213B" w14:textId="000A3209" w:rsidR="00E312BD" w:rsidRDefault="00E312BD" w:rsidP="00E312BD">
            <w:r w:rsidRPr="002C4FA3">
              <w:t>The program coordinator earn</w:t>
            </w:r>
            <w:r w:rsidR="0004096C" w:rsidRPr="002C4FA3">
              <w:t>ed</w:t>
            </w:r>
            <w:r w:rsidRPr="002C4FA3">
              <w:t xml:space="preserve"> 11 CEU hours satisfying the NAACLS 36 CEU every three years requirement.</w:t>
            </w:r>
          </w:p>
        </w:tc>
      </w:tr>
      <w:tr w:rsidR="00E312BD" w14:paraId="4967129D" w14:textId="77777777" w:rsidTr="00E312BD">
        <w:trPr>
          <w:trHeight w:val="54"/>
        </w:trPr>
        <w:tc>
          <w:tcPr>
            <w:tcW w:w="3235" w:type="dxa"/>
          </w:tcPr>
          <w:p w14:paraId="314FD292" w14:textId="77777777" w:rsidR="00E312BD" w:rsidRPr="00764D95" w:rsidRDefault="00E312BD" w:rsidP="00E312BD">
            <w:r w:rsidRPr="00725514">
              <w:lastRenderedPageBreak/>
              <w:t>Continue to develop and implement written Student Learning Outcomes (SLOs) for all courses in the department to more adequately document and enhance reporting of stud</w:t>
            </w:r>
            <w:r>
              <w:t>ent progress in the department.</w:t>
            </w:r>
          </w:p>
          <w:p w14:paraId="5E4DEB8D" w14:textId="77777777" w:rsidR="00E312BD" w:rsidRPr="007B149C" w:rsidRDefault="00E312BD" w:rsidP="00E312BD">
            <w:pPr>
              <w:rPr>
                <w:b/>
              </w:rPr>
            </w:pPr>
            <w:r w:rsidRPr="007B149C">
              <w:rPr>
                <w:b/>
              </w:rPr>
              <w:t>Program Outcome</w:t>
            </w:r>
          </w:p>
          <w:p w14:paraId="6E52691F" w14:textId="77777777" w:rsidR="00E312BD" w:rsidRDefault="00E312BD" w:rsidP="00E312BD">
            <w:r w:rsidRPr="007B149C">
              <w:t>#4. Employers and graduates returning surveys will report 85% satisfaction with educational preparation</w:t>
            </w:r>
          </w:p>
          <w:p w14:paraId="6A97AF7D" w14:textId="77777777" w:rsidR="00E312BD" w:rsidRDefault="00E312BD" w:rsidP="00E312BD">
            <w:pPr>
              <w:rPr>
                <w:b/>
              </w:rPr>
            </w:pPr>
            <w:r>
              <w:rPr>
                <w:b/>
              </w:rPr>
              <w:t>College Action Priority #4</w:t>
            </w:r>
          </w:p>
          <w:p w14:paraId="08E4BAA1" w14:textId="58343789" w:rsidR="00E312BD" w:rsidRPr="00544D74" w:rsidRDefault="00E312BD" w:rsidP="00E312BD">
            <w:r>
              <w:t>Increase visibility and promote communication both inside and outside of the college</w:t>
            </w:r>
          </w:p>
        </w:tc>
        <w:tc>
          <w:tcPr>
            <w:tcW w:w="3261" w:type="dxa"/>
          </w:tcPr>
          <w:p w14:paraId="5F2106F8" w14:textId="77777777" w:rsidR="00E312BD" w:rsidRDefault="00E312BD" w:rsidP="00E312BD">
            <w:r>
              <w:t>1. Review SLOs annually and revise as necessary based upon input from faculty, graduates, employers, and advisory committee members.</w:t>
            </w:r>
          </w:p>
          <w:p w14:paraId="3F9FBE5D" w14:textId="77777777" w:rsidR="00E312BD" w:rsidRDefault="00E312BD" w:rsidP="00E312BD"/>
        </w:tc>
        <w:tc>
          <w:tcPr>
            <w:tcW w:w="3205" w:type="dxa"/>
            <w:tcBorders>
              <w:left w:val="single" w:sz="4" w:space="0" w:color="auto"/>
              <w:right w:val="single" w:sz="6" w:space="0" w:color="auto"/>
            </w:tcBorders>
          </w:tcPr>
          <w:p w14:paraId="6E56D9D0" w14:textId="0B800046" w:rsidR="00E312BD" w:rsidRDefault="00E312BD" w:rsidP="00E312BD">
            <w:r>
              <w:t>This goal was completed</w:t>
            </w:r>
          </w:p>
        </w:tc>
        <w:tc>
          <w:tcPr>
            <w:tcW w:w="3243" w:type="dxa"/>
            <w:tcBorders>
              <w:left w:val="single" w:sz="6" w:space="0" w:color="auto"/>
            </w:tcBorders>
          </w:tcPr>
          <w:p w14:paraId="7FDFD7CF" w14:textId="78609774" w:rsidR="00E312BD" w:rsidRDefault="00E312BD" w:rsidP="00E312BD">
            <w:r w:rsidRPr="00C83132">
              <w:t xml:space="preserve">The advisory committee met twice this year in </w:t>
            </w:r>
            <w:r w:rsidR="002C4FA3" w:rsidRPr="00C83132">
              <w:t xml:space="preserve">December </w:t>
            </w:r>
            <w:r w:rsidRPr="00C83132">
              <w:t xml:space="preserve">and </w:t>
            </w:r>
            <w:r w:rsidR="002C4FA3" w:rsidRPr="00C83132">
              <w:t>April.</w:t>
            </w:r>
            <w:r w:rsidRPr="00C83132">
              <w:t xml:space="preserve"> Discussion </w:t>
            </w:r>
            <w:r w:rsidR="002C4FA3" w:rsidRPr="00C83132">
              <w:t>at the Winter meeting revolve</w:t>
            </w:r>
            <w:r w:rsidR="006C688F">
              <w:t>d</w:t>
            </w:r>
            <w:bookmarkStart w:id="0" w:name="_GoBack"/>
            <w:bookmarkEnd w:id="0"/>
            <w:r w:rsidR="002C4FA3" w:rsidRPr="00C83132">
              <w:t xml:space="preserve"> around program statistics related to curriculum improvement, BOC testing and clinical rotations.</w:t>
            </w:r>
            <w:r w:rsidR="00C83132" w:rsidRPr="00C83132">
              <w:t xml:space="preserve"> </w:t>
            </w:r>
            <w:r w:rsidR="002C4FA3" w:rsidRPr="00C83132">
              <w:t xml:space="preserve">From the discussion </w:t>
            </w:r>
            <w:r w:rsidR="00C83132" w:rsidRPr="00C83132">
              <w:t>involving</w:t>
            </w:r>
            <w:r w:rsidR="00C83132">
              <w:t xml:space="preserve"> </w:t>
            </w:r>
            <w:r w:rsidR="002C4FA3">
              <w:t xml:space="preserve"> clinical placement we decided in</w:t>
            </w:r>
            <w:r w:rsidR="00C83132">
              <w:t xml:space="preserve"> </w:t>
            </w:r>
            <w:r w:rsidR="002C4FA3">
              <w:t xml:space="preserve">our April meeting to divide up committee members into department specific groups to look closer at clinical evaluations. The suggestions were implemented into new clinical </w:t>
            </w:r>
            <w:r w:rsidR="002C4FA3">
              <w:lastRenderedPageBreak/>
              <w:t xml:space="preserve">documents beginning </w:t>
            </w:r>
            <w:r w:rsidR="00C83132">
              <w:t>Fall 2019 clinical semester</w:t>
            </w:r>
          </w:p>
        </w:tc>
      </w:tr>
      <w:tr w:rsidR="00E312BD" w:rsidRPr="0004096C" w14:paraId="742DA138" w14:textId="77777777" w:rsidTr="00E312BD">
        <w:trPr>
          <w:trHeight w:val="54"/>
        </w:trPr>
        <w:tc>
          <w:tcPr>
            <w:tcW w:w="3235" w:type="dxa"/>
          </w:tcPr>
          <w:p w14:paraId="745F3727" w14:textId="77777777" w:rsidR="00E312BD" w:rsidRPr="005A01F0" w:rsidRDefault="00E312BD" w:rsidP="00E312BD">
            <w:r w:rsidRPr="005A01F0">
              <w:lastRenderedPageBreak/>
              <w:t>Develop contracts with additional healthcare settings to increase the number of student enrollment in the program.</w:t>
            </w:r>
          </w:p>
          <w:p w14:paraId="03D3D5C6" w14:textId="77777777" w:rsidR="00E312BD" w:rsidRPr="005A01F0" w:rsidRDefault="00E312BD" w:rsidP="00E312BD">
            <w:pPr>
              <w:rPr>
                <w:b/>
              </w:rPr>
            </w:pPr>
            <w:r w:rsidRPr="005A01F0">
              <w:rPr>
                <w:b/>
              </w:rPr>
              <w:t>Program Outcome</w:t>
            </w:r>
          </w:p>
          <w:p w14:paraId="70BCB11E" w14:textId="77777777" w:rsidR="00E312BD" w:rsidRDefault="00E312BD" w:rsidP="00E312BD">
            <w:r w:rsidRPr="005A01F0">
              <w:t>#1. 70% of students admitted to the MLT program will complete as technically competent individuals ready to enter the laboratory workforce</w:t>
            </w:r>
            <w:r>
              <w:t>.</w:t>
            </w:r>
          </w:p>
          <w:p w14:paraId="11E3C1D7" w14:textId="77777777" w:rsidR="00E312BD" w:rsidRDefault="00E312BD" w:rsidP="00E312BD">
            <w:pPr>
              <w:rPr>
                <w:b/>
              </w:rPr>
            </w:pPr>
            <w:r>
              <w:rPr>
                <w:b/>
              </w:rPr>
              <w:t>College Action Priority #4</w:t>
            </w:r>
          </w:p>
          <w:p w14:paraId="37C358F2" w14:textId="699004FC" w:rsidR="00E312BD" w:rsidRPr="005A01F0" w:rsidRDefault="00E312BD" w:rsidP="00E312BD">
            <w:r>
              <w:t>Increase visibility and promote communication both inside and outside of the college</w:t>
            </w:r>
          </w:p>
        </w:tc>
        <w:tc>
          <w:tcPr>
            <w:tcW w:w="3261" w:type="dxa"/>
          </w:tcPr>
          <w:p w14:paraId="5956E1A1" w14:textId="77777777" w:rsidR="00E312BD" w:rsidRPr="005A01F0" w:rsidRDefault="00E312BD" w:rsidP="00E312BD">
            <w:r w:rsidRPr="005A01F0">
              <w:t xml:space="preserve">1. Maintain </w:t>
            </w:r>
            <w:r>
              <w:t>Clinical</w:t>
            </w:r>
            <w:r w:rsidRPr="005A01F0">
              <w:t xml:space="preserve"> affiliations with area hospitals and clinics.</w:t>
            </w:r>
          </w:p>
          <w:p w14:paraId="6CB61528" w14:textId="751AC76F" w:rsidR="00E312BD" w:rsidRPr="005A01F0" w:rsidRDefault="00E312BD" w:rsidP="00E312BD">
            <w:r w:rsidRPr="005A01F0">
              <w:t xml:space="preserve">2. </w:t>
            </w:r>
            <w:r>
              <w:t>Continue to i</w:t>
            </w:r>
            <w:r w:rsidRPr="005A01F0">
              <w:t>nitiate contact with large clinics and free</w:t>
            </w:r>
            <w:r>
              <w:t>-</w:t>
            </w:r>
            <w:r w:rsidRPr="005A01F0">
              <w:t xml:space="preserve"> standing Emergency Departments for possible core lab </w:t>
            </w:r>
            <w:r>
              <w:t>Clinical</w:t>
            </w:r>
            <w:r w:rsidRPr="005A01F0">
              <w:t xml:space="preserve"> rotations as well as phlebotomy rotations</w:t>
            </w:r>
          </w:p>
        </w:tc>
        <w:tc>
          <w:tcPr>
            <w:tcW w:w="3205" w:type="dxa"/>
            <w:tcBorders>
              <w:left w:val="single" w:sz="4" w:space="0" w:color="auto"/>
              <w:right w:val="single" w:sz="6" w:space="0" w:color="auto"/>
            </w:tcBorders>
          </w:tcPr>
          <w:p w14:paraId="20568F54" w14:textId="7B6C4DDE" w:rsidR="00E312BD" w:rsidRDefault="00E312BD" w:rsidP="00E312BD">
            <w:r>
              <w:t>This goal was completed</w:t>
            </w:r>
          </w:p>
        </w:tc>
        <w:tc>
          <w:tcPr>
            <w:tcW w:w="3243" w:type="dxa"/>
          </w:tcPr>
          <w:p w14:paraId="4E3F2B6E" w14:textId="63D0CF81" w:rsidR="00E312BD" w:rsidRPr="00C72669" w:rsidRDefault="00E312BD" w:rsidP="00E312BD">
            <w:r w:rsidRPr="00C72669">
              <w:t xml:space="preserve">The program continues to keep in contact with clinical affiliates. We are continually looking at new relationships and have added </w:t>
            </w:r>
            <w:r w:rsidR="00C83132" w:rsidRPr="00C72669">
              <w:t>Ivy Creek Healthcare for a phlebotomy site in Wetumpka.</w:t>
            </w:r>
            <w:r w:rsidR="00C44F74" w:rsidRPr="00C72669">
              <w:t xml:space="preserve"> For MLT we added a core lab rotation at Quest Diagnostics in Tuscaloosa, Southeast Clinical Laboratories and UAB Hospital.</w:t>
            </w:r>
          </w:p>
          <w:p w14:paraId="5CB57DCD" w14:textId="07D86B53" w:rsidR="00C44F74" w:rsidRPr="00C72669" w:rsidRDefault="00C44F74" w:rsidP="00E312BD">
            <w:r w:rsidRPr="00C72669">
              <w:t xml:space="preserve">This will help </w:t>
            </w:r>
            <w:r w:rsidR="00C72669" w:rsidRPr="00C72669">
              <w:t>alleviate</w:t>
            </w:r>
            <w:r w:rsidRPr="00C72669">
              <w:t xml:space="preserve"> some of our clinical placement issues</w:t>
            </w:r>
            <w:r w:rsidR="00C72669" w:rsidRPr="00C72669">
              <w:t>.</w:t>
            </w:r>
          </w:p>
          <w:p w14:paraId="6871FD6A" w14:textId="77777777" w:rsidR="00E312BD" w:rsidRPr="00C72669" w:rsidRDefault="00E312BD" w:rsidP="00E312BD"/>
          <w:p w14:paraId="7813BF45" w14:textId="28F95451" w:rsidR="00E312BD" w:rsidRPr="00C72669" w:rsidRDefault="00E312BD" w:rsidP="00E312BD">
            <w:r w:rsidRPr="00C72669">
              <w:t>Our programs retention/graduation rates continue to fall within the NAACLS benchmark. Per NAACLS guidelines we count retention/graduation numbers for students entering the third semester of the MLT program</w:t>
            </w:r>
            <w:r w:rsidR="00C72669" w:rsidRPr="00C72669">
              <w:t>. Our placement statistics are near 100% for the last three</w:t>
            </w:r>
            <w:r w:rsidR="00C72669">
              <w:t>-</w:t>
            </w:r>
            <w:r w:rsidR="00C72669" w:rsidRPr="00C72669">
              <w:t>year period</w:t>
            </w:r>
          </w:p>
          <w:p w14:paraId="289DAC42" w14:textId="77777777" w:rsidR="00E312BD" w:rsidRPr="0004096C" w:rsidRDefault="00E312BD" w:rsidP="00E312BD">
            <w:pPr>
              <w:rPr>
                <w:highlight w:val="yellow"/>
              </w:rPr>
            </w:pPr>
          </w:p>
          <w:p w14:paraId="7A002F90" w14:textId="3054698D" w:rsidR="00E312BD" w:rsidRPr="0004096C" w:rsidRDefault="00E312BD" w:rsidP="00C44F74">
            <w:pPr>
              <w:rPr>
                <w:highlight w:val="yellow"/>
              </w:rPr>
            </w:pPr>
          </w:p>
        </w:tc>
      </w:tr>
      <w:tr w:rsidR="00E312BD" w:rsidRPr="002A44E2" w14:paraId="1E2F2138" w14:textId="77777777" w:rsidTr="00E312BD">
        <w:tc>
          <w:tcPr>
            <w:tcW w:w="6496" w:type="dxa"/>
            <w:gridSpan w:val="2"/>
            <w:tcBorders>
              <w:right w:val="single" w:sz="4" w:space="0" w:color="auto"/>
            </w:tcBorders>
          </w:tcPr>
          <w:p w14:paraId="38276D12" w14:textId="77777777" w:rsidR="00E312BD" w:rsidRPr="002A44E2" w:rsidRDefault="00E312BD" w:rsidP="00E312BD">
            <w:pPr>
              <w:rPr>
                <w:sz w:val="12"/>
                <w:szCs w:val="12"/>
              </w:rPr>
            </w:pPr>
          </w:p>
          <w:p w14:paraId="5B901711" w14:textId="77777777" w:rsidR="00E312BD" w:rsidRPr="002A44E2" w:rsidRDefault="00E312BD" w:rsidP="00E312BD">
            <w:pPr>
              <w:rPr>
                <w:b/>
                <w:sz w:val="12"/>
                <w:szCs w:val="12"/>
              </w:rPr>
            </w:pPr>
          </w:p>
          <w:p w14:paraId="41D1C49D" w14:textId="1A678057" w:rsidR="00E312BD" w:rsidRDefault="00E312BD" w:rsidP="00E312BD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>
              <w:rPr>
                <w:b/>
              </w:rPr>
              <w:t xml:space="preserve"> </w:t>
            </w:r>
            <w:r w:rsidR="0004096C">
              <w:rPr>
                <w:b/>
              </w:rPr>
              <w:t>8</w:t>
            </w:r>
            <w:r>
              <w:rPr>
                <w:b/>
              </w:rPr>
              <w:t>/</w:t>
            </w:r>
            <w:r w:rsidR="0004096C">
              <w:rPr>
                <w:b/>
              </w:rPr>
              <w:t>30</w:t>
            </w:r>
            <w:r>
              <w:rPr>
                <w:b/>
              </w:rPr>
              <w:t>/201</w:t>
            </w:r>
            <w:r w:rsidR="0004096C">
              <w:rPr>
                <w:b/>
              </w:rPr>
              <w:t>9</w:t>
            </w:r>
          </w:p>
        </w:tc>
        <w:tc>
          <w:tcPr>
            <w:tcW w:w="6448" w:type="dxa"/>
            <w:gridSpan w:val="2"/>
            <w:tcBorders>
              <w:left w:val="single" w:sz="4" w:space="0" w:color="auto"/>
            </w:tcBorders>
          </w:tcPr>
          <w:p w14:paraId="277081EB" w14:textId="77777777" w:rsidR="00E312BD" w:rsidRPr="00490115" w:rsidRDefault="00E312BD" w:rsidP="00E312BD">
            <w:pPr>
              <w:rPr>
                <w:sz w:val="12"/>
                <w:szCs w:val="12"/>
              </w:rPr>
            </w:pPr>
          </w:p>
          <w:p w14:paraId="2234E7C5" w14:textId="77777777" w:rsidR="00E312BD" w:rsidRPr="00490115" w:rsidRDefault="00E312BD" w:rsidP="00E312BD">
            <w:pPr>
              <w:rPr>
                <w:sz w:val="12"/>
                <w:szCs w:val="12"/>
              </w:rPr>
            </w:pPr>
          </w:p>
          <w:p w14:paraId="62AC2A69" w14:textId="77777777" w:rsidR="00E312BD" w:rsidRDefault="00E312BD" w:rsidP="00E312BD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>
              <w:rPr>
                <w:b/>
              </w:rPr>
              <w:t xml:space="preserve"> Candy Hill</w:t>
            </w:r>
          </w:p>
          <w:p w14:paraId="01E3E0AE" w14:textId="77777777" w:rsidR="00E312BD" w:rsidRPr="002A44E2" w:rsidRDefault="00E312BD" w:rsidP="00E312BD">
            <w:pPr>
              <w:rPr>
                <w:b/>
                <w:sz w:val="8"/>
                <w:szCs w:val="8"/>
              </w:rPr>
            </w:pPr>
          </w:p>
        </w:tc>
      </w:tr>
    </w:tbl>
    <w:p w14:paraId="111A290E" w14:textId="77777777"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D20C0"/>
    <w:multiLevelType w:val="hybridMultilevel"/>
    <w:tmpl w:val="D50A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6C5C"/>
    <w:multiLevelType w:val="hybridMultilevel"/>
    <w:tmpl w:val="3C1C8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7"/>
    <w:rsid w:val="00032136"/>
    <w:rsid w:val="0004096C"/>
    <w:rsid w:val="000633D2"/>
    <w:rsid w:val="000E6151"/>
    <w:rsid w:val="001C24E3"/>
    <w:rsid w:val="001C6D5E"/>
    <w:rsid w:val="0022355A"/>
    <w:rsid w:val="0025289D"/>
    <w:rsid w:val="002A496D"/>
    <w:rsid w:val="002C4FA3"/>
    <w:rsid w:val="002F4F69"/>
    <w:rsid w:val="003363D0"/>
    <w:rsid w:val="00353698"/>
    <w:rsid w:val="00364FC7"/>
    <w:rsid w:val="0037246F"/>
    <w:rsid w:val="003C347E"/>
    <w:rsid w:val="00402EA6"/>
    <w:rsid w:val="00411BD2"/>
    <w:rsid w:val="004364B8"/>
    <w:rsid w:val="004C7EB5"/>
    <w:rsid w:val="0057736B"/>
    <w:rsid w:val="005D6D4B"/>
    <w:rsid w:val="006324AB"/>
    <w:rsid w:val="00662CDC"/>
    <w:rsid w:val="006651EA"/>
    <w:rsid w:val="006C688F"/>
    <w:rsid w:val="006F377D"/>
    <w:rsid w:val="00790B88"/>
    <w:rsid w:val="008611BD"/>
    <w:rsid w:val="00991B8F"/>
    <w:rsid w:val="009A5BCA"/>
    <w:rsid w:val="009A7CAB"/>
    <w:rsid w:val="00B5475D"/>
    <w:rsid w:val="00B74B27"/>
    <w:rsid w:val="00C44F74"/>
    <w:rsid w:val="00C4530D"/>
    <w:rsid w:val="00C643DE"/>
    <w:rsid w:val="00C72669"/>
    <w:rsid w:val="00C83132"/>
    <w:rsid w:val="00D14F1B"/>
    <w:rsid w:val="00D24A77"/>
    <w:rsid w:val="00D578D6"/>
    <w:rsid w:val="00D94E0C"/>
    <w:rsid w:val="00DA113C"/>
    <w:rsid w:val="00DD55D0"/>
    <w:rsid w:val="00DF13AF"/>
    <w:rsid w:val="00E312BD"/>
    <w:rsid w:val="00EE4675"/>
    <w:rsid w:val="00F26A57"/>
    <w:rsid w:val="00F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00BB"/>
  <w15:docId w15:val="{3BCB8467-C898-459C-91DA-C7F3B2CD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6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A1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113C"/>
  </w:style>
  <w:style w:type="paragraph" w:styleId="ListParagraph">
    <w:name w:val="List Paragraph"/>
    <w:basedOn w:val="Normal"/>
    <w:uiPriority w:val="34"/>
    <w:qFormat/>
    <w:rsid w:val="0079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Candance Hill</cp:lastModifiedBy>
  <cp:revision>4</cp:revision>
  <cp:lastPrinted>2019-08-20T18:01:00Z</cp:lastPrinted>
  <dcterms:created xsi:type="dcterms:W3CDTF">2019-08-27T07:28:00Z</dcterms:created>
  <dcterms:modified xsi:type="dcterms:W3CDTF">2019-08-30T07:06:00Z</dcterms:modified>
</cp:coreProperties>
</file>