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37A5F" w14:textId="26BF7CFB" w:rsidR="00324F40" w:rsidRDefault="00324F40" w:rsidP="0000358F">
      <w:pPr>
        <w:rPr>
          <w:b/>
          <w:sz w:val="28"/>
          <w:szCs w:val="28"/>
        </w:rPr>
      </w:pPr>
      <w:r>
        <w:rPr>
          <w:noProof/>
        </w:rPr>
        <mc:AlternateContent>
          <mc:Choice Requires="wps">
            <w:drawing>
              <wp:anchor distT="0" distB="0" distL="114300" distR="114300" simplePos="0" relativeHeight="251659264" behindDoc="0" locked="0" layoutInCell="1" allowOverlap="1" wp14:anchorId="1B2A61C2" wp14:editId="36E25938">
                <wp:simplePos x="0" y="0"/>
                <wp:positionH relativeFrom="column">
                  <wp:posOffset>800100</wp:posOffset>
                </wp:positionH>
                <wp:positionV relativeFrom="paragraph">
                  <wp:posOffset>-200025</wp:posOffset>
                </wp:positionV>
                <wp:extent cx="4591050" cy="1403985"/>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3985"/>
                        </a:xfrm>
                        <a:prstGeom prst="rect">
                          <a:avLst/>
                        </a:prstGeom>
                        <a:solidFill>
                          <a:srgbClr val="FFFFFF"/>
                        </a:solidFill>
                        <a:ln w="9525">
                          <a:solidFill>
                            <a:srgbClr val="000000"/>
                          </a:solidFill>
                          <a:miter lim="800000"/>
                          <a:headEnd/>
                          <a:tailEnd/>
                        </a:ln>
                      </wps:spPr>
                      <wps:txbx>
                        <w:txbxContent>
                          <w:p w14:paraId="06ACBC47" w14:textId="77777777" w:rsidR="00324F40" w:rsidRPr="00324F40" w:rsidRDefault="00324F40" w:rsidP="00324F40">
                            <w:pPr>
                              <w:jc w:val="center"/>
                              <w:rPr>
                                <w:b/>
                                <w:sz w:val="28"/>
                                <w:szCs w:val="28"/>
                              </w:rPr>
                            </w:pPr>
                            <w:r w:rsidRPr="00324F40">
                              <w:rPr>
                                <w:b/>
                                <w:sz w:val="28"/>
                                <w:szCs w:val="28"/>
                              </w:rPr>
                              <w:t>Construction and Building Science Unit Goal Revisions</w:t>
                            </w:r>
                          </w:p>
                          <w:p w14:paraId="2BBFAE49" w14:textId="6570D19E" w:rsidR="00324F40" w:rsidRPr="00324F40" w:rsidRDefault="00324F40" w:rsidP="00324F40">
                            <w:pPr>
                              <w:jc w:val="center"/>
                              <w:rPr>
                                <w:b/>
                                <w:sz w:val="28"/>
                                <w:szCs w:val="28"/>
                              </w:rPr>
                            </w:pPr>
                            <w:r w:rsidRPr="00324F40">
                              <w:rPr>
                                <w:b/>
                                <w:sz w:val="28"/>
                                <w:szCs w:val="28"/>
                              </w:rPr>
                              <w:t>201</w:t>
                            </w:r>
                            <w:r>
                              <w:rPr>
                                <w:b/>
                                <w:sz w:val="28"/>
                                <w:szCs w:val="28"/>
                              </w:rPr>
                              <w:t>8</w:t>
                            </w:r>
                            <w:r w:rsidRPr="00324F40">
                              <w:rPr>
                                <w:b/>
                                <w:sz w:val="28"/>
                                <w:szCs w:val="28"/>
                              </w:rPr>
                              <w:t xml:space="preserve"> - 201</w:t>
                            </w:r>
                            <w:r>
                              <w:rPr>
                                <w:b/>
                                <w:sz w:val="28"/>
                                <w:szCs w:val="28"/>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2A61C2" id="_x0000_t202" coordsize="21600,21600" o:spt="202" path="m,l,21600r21600,l21600,xe">
                <v:stroke joinstyle="miter"/>
                <v:path gradientshapeok="t" o:connecttype="rect"/>
              </v:shapetype>
              <v:shape id="Text Box 2" o:spid="_x0000_s1026" type="#_x0000_t202" style="position:absolute;margin-left:63pt;margin-top:-15.75pt;width:36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">
                <v:textbox style="mso-fit-shape-to-text:t">
                  <w:txbxContent>
                    <w:p w14:paraId="06ACBC47" w14:textId="77777777" w:rsidR="00324F40" w:rsidRPr="00324F40" w:rsidRDefault="00324F40" w:rsidP="00324F40">
                      <w:pPr>
                        <w:jc w:val="center"/>
                        <w:rPr>
                          <w:b/>
                          <w:sz w:val="28"/>
                          <w:szCs w:val="28"/>
                        </w:rPr>
                      </w:pPr>
                      <w:r w:rsidRPr="00324F40">
                        <w:rPr>
                          <w:b/>
                          <w:sz w:val="28"/>
                          <w:szCs w:val="28"/>
                        </w:rPr>
                        <w:t>Construction and Building Science Unit Goal Revisions</w:t>
                      </w:r>
                    </w:p>
                    <w:p w14:paraId="2BBFAE49" w14:textId="6570D19E" w:rsidR="00324F40" w:rsidRPr="00324F40" w:rsidRDefault="00324F40" w:rsidP="00324F40">
                      <w:pPr>
                        <w:jc w:val="center"/>
                        <w:rPr>
                          <w:b/>
                          <w:sz w:val="28"/>
                          <w:szCs w:val="28"/>
                        </w:rPr>
                      </w:pPr>
                      <w:r w:rsidRPr="00324F40">
                        <w:rPr>
                          <w:b/>
                          <w:sz w:val="28"/>
                          <w:szCs w:val="28"/>
                        </w:rPr>
                        <w:t>201</w:t>
                      </w:r>
                      <w:r>
                        <w:rPr>
                          <w:b/>
                          <w:sz w:val="28"/>
                          <w:szCs w:val="28"/>
                        </w:rPr>
                        <w:t>8</w:t>
                      </w:r>
                      <w:r w:rsidRPr="00324F40">
                        <w:rPr>
                          <w:b/>
                          <w:sz w:val="28"/>
                          <w:szCs w:val="28"/>
                        </w:rPr>
                        <w:t xml:space="preserve"> - 201</w:t>
                      </w:r>
                      <w:r>
                        <w:rPr>
                          <w:b/>
                          <w:sz w:val="28"/>
                          <w:szCs w:val="28"/>
                        </w:rPr>
                        <w:t>9</w:t>
                      </w:r>
                    </w:p>
                  </w:txbxContent>
                </v:textbox>
              </v:shape>
            </w:pict>
          </mc:Fallback>
        </mc:AlternateContent>
      </w:r>
    </w:p>
    <w:p w14:paraId="0CD56838" w14:textId="77777777" w:rsidR="00324F40" w:rsidRDefault="00324F40" w:rsidP="0000358F">
      <w:pPr>
        <w:rPr>
          <w:b/>
          <w:sz w:val="28"/>
          <w:szCs w:val="28"/>
        </w:rPr>
      </w:pPr>
    </w:p>
    <w:p w14:paraId="37A4306F" w14:textId="135A5E04" w:rsidR="0000358F" w:rsidRPr="007F26DF" w:rsidRDefault="0000358F" w:rsidP="0000358F">
      <w:pPr>
        <w:rPr>
          <w:b/>
          <w:sz w:val="28"/>
          <w:szCs w:val="28"/>
        </w:rPr>
      </w:pPr>
      <w:r w:rsidRPr="007F26DF">
        <w:rPr>
          <w:b/>
          <w:sz w:val="28"/>
          <w:szCs w:val="28"/>
        </w:rPr>
        <w:t>Unit Goals for 201</w:t>
      </w:r>
      <w:r>
        <w:rPr>
          <w:b/>
          <w:sz w:val="28"/>
          <w:szCs w:val="28"/>
        </w:rPr>
        <w:t>8</w:t>
      </w:r>
      <w:r w:rsidRPr="007F26DF">
        <w:rPr>
          <w:b/>
          <w:sz w:val="28"/>
          <w:szCs w:val="28"/>
        </w:rPr>
        <w:t>-201</w:t>
      </w:r>
      <w:r>
        <w:rPr>
          <w:b/>
          <w:sz w:val="28"/>
          <w:szCs w:val="28"/>
        </w:rPr>
        <w:t>9</w:t>
      </w:r>
      <w:r w:rsidRPr="007F26DF">
        <w:rPr>
          <w:b/>
          <w:sz w:val="28"/>
          <w:szCs w:val="28"/>
        </w:rPr>
        <w:t xml:space="preserve"> </w:t>
      </w:r>
    </w:p>
    <w:tbl>
      <w:tblPr>
        <w:tblStyle w:val="TableGrid"/>
        <w:tblW w:w="1026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06"/>
        <w:gridCol w:w="2539"/>
        <w:gridCol w:w="2393"/>
        <w:gridCol w:w="2822"/>
      </w:tblGrid>
      <w:tr w:rsidR="00DC29DF" w:rsidRPr="00D554AC" w14:paraId="168E6CE6" w14:textId="77777777" w:rsidTr="00F33A88">
        <w:trPr>
          <w:trHeight w:val="54"/>
        </w:trPr>
        <w:tc>
          <w:tcPr>
            <w:tcW w:w="2506" w:type="dxa"/>
            <w:tcBorders>
              <w:left w:val="single" w:sz="6" w:space="0" w:color="auto"/>
              <w:bottom w:val="double" w:sz="4" w:space="0" w:color="auto"/>
              <w:right w:val="single" w:sz="6" w:space="0" w:color="auto"/>
            </w:tcBorders>
          </w:tcPr>
          <w:p w14:paraId="30E2F156" w14:textId="77777777" w:rsidR="0000358F" w:rsidRPr="009C1272" w:rsidRDefault="0000358F" w:rsidP="00743770">
            <w:pPr>
              <w:jc w:val="center"/>
              <w:rPr>
                <w:b/>
                <w:sz w:val="28"/>
                <w:szCs w:val="28"/>
              </w:rPr>
            </w:pPr>
          </w:p>
          <w:p w14:paraId="0D513002" w14:textId="77777777" w:rsidR="0000358F" w:rsidRPr="009C1272" w:rsidRDefault="0000358F" w:rsidP="00743770">
            <w:pPr>
              <w:jc w:val="center"/>
              <w:rPr>
                <w:b/>
                <w:sz w:val="28"/>
                <w:szCs w:val="28"/>
              </w:rPr>
            </w:pPr>
            <w:r w:rsidRPr="009C1272">
              <w:rPr>
                <w:b/>
                <w:sz w:val="28"/>
                <w:szCs w:val="28"/>
              </w:rPr>
              <w:t>Unit Goals</w:t>
            </w:r>
          </w:p>
        </w:tc>
        <w:tc>
          <w:tcPr>
            <w:tcW w:w="2539" w:type="dxa"/>
            <w:tcBorders>
              <w:left w:val="single" w:sz="6" w:space="0" w:color="auto"/>
              <w:bottom w:val="thinThickSmallGap" w:sz="12" w:space="0" w:color="auto"/>
              <w:right w:val="single" w:sz="4" w:space="0" w:color="auto"/>
            </w:tcBorders>
          </w:tcPr>
          <w:p w14:paraId="7EAB864D" w14:textId="77777777" w:rsidR="0000358F" w:rsidRPr="009C1272" w:rsidRDefault="0000358F" w:rsidP="00743770">
            <w:pPr>
              <w:jc w:val="center"/>
              <w:rPr>
                <w:b/>
                <w:sz w:val="28"/>
                <w:szCs w:val="28"/>
              </w:rPr>
            </w:pPr>
          </w:p>
          <w:p w14:paraId="154C466A" w14:textId="77777777" w:rsidR="0000358F" w:rsidRPr="009C1272" w:rsidRDefault="0000358F" w:rsidP="00743770">
            <w:pPr>
              <w:jc w:val="center"/>
              <w:rPr>
                <w:b/>
                <w:sz w:val="28"/>
                <w:szCs w:val="28"/>
              </w:rPr>
            </w:pPr>
            <w:r w:rsidRPr="009C1272">
              <w:rPr>
                <w:b/>
                <w:sz w:val="28"/>
                <w:szCs w:val="28"/>
              </w:rPr>
              <w:t>Objectives</w:t>
            </w:r>
          </w:p>
        </w:tc>
        <w:tc>
          <w:tcPr>
            <w:tcW w:w="2393" w:type="dxa"/>
            <w:tcBorders>
              <w:left w:val="single" w:sz="4" w:space="0" w:color="auto"/>
              <w:bottom w:val="thinThickSmallGap" w:sz="12" w:space="0" w:color="auto"/>
              <w:right w:val="single" w:sz="6" w:space="0" w:color="auto"/>
            </w:tcBorders>
          </w:tcPr>
          <w:p w14:paraId="2A360F86" w14:textId="77777777" w:rsidR="0000358F" w:rsidRPr="009C1272" w:rsidRDefault="0000358F" w:rsidP="00743770">
            <w:pPr>
              <w:jc w:val="center"/>
              <w:rPr>
                <w:b/>
                <w:sz w:val="28"/>
                <w:szCs w:val="28"/>
              </w:rPr>
            </w:pPr>
            <w:r w:rsidRPr="009C1272">
              <w:rPr>
                <w:b/>
                <w:sz w:val="28"/>
                <w:szCs w:val="28"/>
              </w:rPr>
              <w:t>Method of Assessment</w:t>
            </w:r>
          </w:p>
        </w:tc>
        <w:tc>
          <w:tcPr>
            <w:tcW w:w="2822" w:type="dxa"/>
            <w:tcBorders>
              <w:left w:val="single" w:sz="6" w:space="0" w:color="auto"/>
              <w:bottom w:val="thinThickSmallGap" w:sz="12" w:space="0" w:color="auto"/>
            </w:tcBorders>
          </w:tcPr>
          <w:p w14:paraId="76FE584D" w14:textId="77777777" w:rsidR="0000358F" w:rsidRPr="009C1272" w:rsidRDefault="0000358F" w:rsidP="00743770">
            <w:pPr>
              <w:jc w:val="center"/>
              <w:rPr>
                <w:b/>
                <w:sz w:val="28"/>
                <w:szCs w:val="28"/>
              </w:rPr>
            </w:pPr>
            <w:r w:rsidRPr="009C1272">
              <w:rPr>
                <w:b/>
                <w:sz w:val="28"/>
                <w:szCs w:val="28"/>
              </w:rPr>
              <w:t>Additional Funding Required</w:t>
            </w:r>
          </w:p>
        </w:tc>
      </w:tr>
      <w:tr w:rsidR="00DC29DF" w:rsidRPr="002805E5" w14:paraId="3BDBC1FE" w14:textId="77777777" w:rsidTr="00F33A88">
        <w:trPr>
          <w:trHeight w:val="54"/>
        </w:trPr>
        <w:tc>
          <w:tcPr>
            <w:tcW w:w="2506" w:type="dxa"/>
            <w:tcBorders>
              <w:right w:val="single" w:sz="6" w:space="0" w:color="auto"/>
            </w:tcBorders>
          </w:tcPr>
          <w:p w14:paraId="70F46ED2" w14:textId="77777777" w:rsidR="0000358F" w:rsidRPr="009C1272" w:rsidRDefault="0000358F" w:rsidP="00743770">
            <w:pPr>
              <w:pStyle w:val="Default"/>
              <w:rPr>
                <w:b/>
                <w:color w:val="auto"/>
                <w:sz w:val="28"/>
                <w:szCs w:val="28"/>
              </w:rPr>
            </w:pPr>
            <w:r>
              <w:rPr>
                <w:b/>
                <w:bCs/>
                <w:color w:val="auto"/>
                <w:sz w:val="28"/>
                <w:szCs w:val="28"/>
              </w:rPr>
              <w:t>1</w:t>
            </w:r>
            <w:r w:rsidRPr="009C1272">
              <w:rPr>
                <w:b/>
                <w:bCs/>
                <w:color w:val="auto"/>
                <w:sz w:val="28"/>
                <w:szCs w:val="28"/>
              </w:rPr>
              <w:t xml:space="preserve">.) Update all lab equipment and spaces to </w:t>
            </w:r>
            <w:r>
              <w:rPr>
                <w:b/>
                <w:bCs/>
                <w:color w:val="auto"/>
                <w:sz w:val="28"/>
                <w:szCs w:val="28"/>
              </w:rPr>
              <w:t>meet faculty and student needs as well as the ACCE requirement for Construction Management Re-Accreditation visiting in Spring 2019</w:t>
            </w:r>
          </w:p>
          <w:p w14:paraId="6C4C6220" w14:textId="77777777" w:rsidR="0000358F" w:rsidRDefault="0000358F" w:rsidP="00743770">
            <w:pPr>
              <w:rPr>
                <w:sz w:val="28"/>
                <w:szCs w:val="28"/>
              </w:rPr>
            </w:pPr>
          </w:p>
          <w:p w14:paraId="495D5EEF" w14:textId="77777777" w:rsidR="0000358F" w:rsidRPr="009C1272" w:rsidRDefault="0000358F" w:rsidP="00743770">
            <w:pPr>
              <w:rPr>
                <w:sz w:val="28"/>
                <w:szCs w:val="28"/>
              </w:rPr>
            </w:pPr>
          </w:p>
        </w:tc>
        <w:tc>
          <w:tcPr>
            <w:tcW w:w="2539" w:type="dxa"/>
            <w:tcBorders>
              <w:left w:val="single" w:sz="6" w:space="0" w:color="auto"/>
              <w:right w:val="single" w:sz="4" w:space="0" w:color="auto"/>
            </w:tcBorders>
          </w:tcPr>
          <w:p w14:paraId="1E0FD3AA" w14:textId="77777777" w:rsidR="0000358F" w:rsidRPr="00C77D83" w:rsidRDefault="0000358F" w:rsidP="00743770">
            <w:pPr>
              <w:rPr>
                <w:b/>
                <w:sz w:val="24"/>
                <w:szCs w:val="24"/>
              </w:rPr>
            </w:pPr>
            <w:r w:rsidRPr="00C77D83">
              <w:rPr>
                <w:b/>
                <w:sz w:val="24"/>
                <w:szCs w:val="24"/>
              </w:rPr>
              <w:t>a)</w:t>
            </w:r>
            <w:r w:rsidRPr="00C77D83">
              <w:rPr>
                <w:sz w:val="24"/>
                <w:szCs w:val="24"/>
              </w:rPr>
              <w:t xml:space="preserve"> may require replacing 39 computer stations to be capable of handling updated software. Existing computers will approximately be five-years old.  </w:t>
            </w:r>
          </w:p>
          <w:p w14:paraId="59236FFA" w14:textId="77777777" w:rsidR="0000358F" w:rsidRPr="00C77D83" w:rsidRDefault="0000358F" w:rsidP="00743770">
            <w:pPr>
              <w:rPr>
                <w:sz w:val="24"/>
                <w:szCs w:val="24"/>
              </w:rPr>
            </w:pPr>
            <w:r w:rsidRPr="00C77D83">
              <w:rPr>
                <w:b/>
                <w:sz w:val="24"/>
                <w:szCs w:val="24"/>
              </w:rPr>
              <w:t>b)</w:t>
            </w:r>
            <w:r w:rsidRPr="00C77D83">
              <w:rPr>
                <w:sz w:val="24"/>
                <w:szCs w:val="24"/>
              </w:rPr>
              <w:t xml:space="preserve"> Identify equipment needed for concrete testing lab, wood shop, and surveying lab. </w:t>
            </w:r>
          </w:p>
          <w:p w14:paraId="6B93B63F" w14:textId="77777777" w:rsidR="0000358F" w:rsidRPr="00C77D83" w:rsidRDefault="0000358F" w:rsidP="00743770">
            <w:pPr>
              <w:rPr>
                <w:sz w:val="24"/>
                <w:szCs w:val="24"/>
              </w:rPr>
            </w:pPr>
            <w:r w:rsidRPr="00C77D83">
              <w:rPr>
                <w:b/>
                <w:sz w:val="24"/>
                <w:szCs w:val="24"/>
              </w:rPr>
              <w:t>c)</w:t>
            </w:r>
            <w:r w:rsidRPr="00C77D83">
              <w:rPr>
                <w:sz w:val="24"/>
                <w:szCs w:val="24"/>
              </w:rPr>
              <w:t xml:space="preserve"> Identify classroom equipment needed for teaching purposes.</w:t>
            </w:r>
          </w:p>
        </w:tc>
        <w:tc>
          <w:tcPr>
            <w:tcW w:w="2393" w:type="dxa"/>
            <w:tcBorders>
              <w:left w:val="single" w:sz="4" w:space="0" w:color="auto"/>
              <w:right w:val="single" w:sz="6" w:space="0" w:color="auto"/>
            </w:tcBorders>
          </w:tcPr>
          <w:p w14:paraId="1CC36EA6" w14:textId="77777777" w:rsidR="0000358F" w:rsidRPr="00C77D83" w:rsidRDefault="0000358F" w:rsidP="00743770">
            <w:pPr>
              <w:pStyle w:val="ListParagraph"/>
              <w:ind w:left="0" w:hanging="18"/>
              <w:rPr>
                <w:sz w:val="24"/>
                <w:szCs w:val="24"/>
              </w:rPr>
            </w:pPr>
            <w:r w:rsidRPr="00C77D83">
              <w:rPr>
                <w:b/>
                <w:sz w:val="24"/>
                <w:szCs w:val="24"/>
              </w:rPr>
              <w:t>a)</w:t>
            </w:r>
            <w:r w:rsidRPr="00C77D83">
              <w:rPr>
                <w:sz w:val="24"/>
                <w:szCs w:val="24"/>
              </w:rPr>
              <w:t xml:space="preserve"> Equipment, material and supply will be requested by faculty as needed and ordered by the Program Coordinator.</w:t>
            </w:r>
          </w:p>
        </w:tc>
        <w:tc>
          <w:tcPr>
            <w:tcW w:w="2822" w:type="dxa"/>
            <w:tcBorders>
              <w:left w:val="single" w:sz="6" w:space="0" w:color="auto"/>
            </w:tcBorders>
          </w:tcPr>
          <w:p w14:paraId="10788F2E" w14:textId="77777777" w:rsidR="0000358F" w:rsidRPr="00C77D83" w:rsidRDefault="0000358F" w:rsidP="00324F40">
            <w:pPr>
              <w:pStyle w:val="ListParagraph"/>
              <w:autoSpaceDE w:val="0"/>
              <w:autoSpaceDN w:val="0"/>
              <w:adjustRightInd w:val="0"/>
              <w:spacing w:after="0" w:line="240" w:lineRule="auto"/>
              <w:ind w:left="72" w:hanging="72"/>
              <w:rPr>
                <w:sz w:val="24"/>
                <w:szCs w:val="24"/>
              </w:rPr>
            </w:pPr>
            <w:r w:rsidRPr="00C77D83">
              <w:rPr>
                <w:b/>
                <w:sz w:val="24"/>
                <w:szCs w:val="24"/>
              </w:rPr>
              <w:t>a.)</w:t>
            </w:r>
            <w:r w:rsidRPr="00C77D83">
              <w:rPr>
                <w:sz w:val="24"/>
                <w:szCs w:val="24"/>
              </w:rPr>
              <w:t xml:space="preserve"> Required material and supplies; replacement and replenishment.</w:t>
            </w:r>
          </w:p>
          <w:p w14:paraId="7C198603" w14:textId="77777777" w:rsidR="0000358F" w:rsidRPr="00C77D83" w:rsidRDefault="0000358F" w:rsidP="00324F40">
            <w:pPr>
              <w:pStyle w:val="ListParagraph"/>
              <w:autoSpaceDE w:val="0"/>
              <w:autoSpaceDN w:val="0"/>
              <w:adjustRightInd w:val="0"/>
              <w:spacing w:after="0" w:line="240" w:lineRule="auto"/>
              <w:ind w:left="226" w:hanging="90"/>
              <w:rPr>
                <w:sz w:val="24"/>
                <w:szCs w:val="24"/>
              </w:rPr>
            </w:pPr>
            <w:r w:rsidRPr="00C77D83">
              <w:rPr>
                <w:sz w:val="24"/>
                <w:szCs w:val="24"/>
              </w:rPr>
              <w:t>-  Concrete                          testing supplies: $1,000 annually.</w:t>
            </w:r>
          </w:p>
          <w:p w14:paraId="7A372B08" w14:textId="77777777" w:rsidR="0000358F" w:rsidRPr="00C77D83" w:rsidRDefault="0000358F" w:rsidP="00324F40">
            <w:pPr>
              <w:pStyle w:val="ListParagraph"/>
              <w:autoSpaceDE w:val="0"/>
              <w:autoSpaceDN w:val="0"/>
              <w:adjustRightInd w:val="0"/>
              <w:spacing w:after="0" w:line="240" w:lineRule="auto"/>
              <w:ind w:left="226" w:hanging="90"/>
              <w:rPr>
                <w:sz w:val="24"/>
                <w:szCs w:val="24"/>
              </w:rPr>
            </w:pPr>
            <w:r w:rsidRPr="00C77D83">
              <w:rPr>
                <w:sz w:val="24"/>
                <w:szCs w:val="24"/>
              </w:rPr>
              <w:t>-  Printer lab: $3,000 annually.</w:t>
            </w:r>
          </w:p>
          <w:p w14:paraId="317ABB2F" w14:textId="77777777" w:rsidR="0000358F" w:rsidRPr="00C77D83" w:rsidRDefault="0000358F" w:rsidP="00324F40">
            <w:pPr>
              <w:pStyle w:val="ListParagraph"/>
              <w:autoSpaceDE w:val="0"/>
              <w:autoSpaceDN w:val="0"/>
              <w:adjustRightInd w:val="0"/>
              <w:spacing w:after="0" w:line="240" w:lineRule="auto"/>
              <w:ind w:left="226" w:hanging="90"/>
              <w:rPr>
                <w:sz w:val="24"/>
                <w:szCs w:val="24"/>
              </w:rPr>
            </w:pPr>
            <w:r w:rsidRPr="00C77D83">
              <w:rPr>
                <w:sz w:val="24"/>
                <w:szCs w:val="24"/>
              </w:rPr>
              <w:t>-  Wood shop tools, safety equipment, and supplies:</w:t>
            </w:r>
          </w:p>
          <w:p w14:paraId="242837D8" w14:textId="77777777" w:rsidR="00324F40" w:rsidRPr="00C77D83" w:rsidRDefault="0000358F" w:rsidP="00324F40">
            <w:pPr>
              <w:pStyle w:val="ListParagraph"/>
              <w:autoSpaceDE w:val="0"/>
              <w:autoSpaceDN w:val="0"/>
              <w:adjustRightInd w:val="0"/>
              <w:spacing w:after="0" w:line="240" w:lineRule="auto"/>
              <w:ind w:left="226" w:hanging="90"/>
              <w:rPr>
                <w:sz w:val="24"/>
                <w:szCs w:val="24"/>
              </w:rPr>
            </w:pPr>
            <w:r w:rsidRPr="00C77D83">
              <w:rPr>
                <w:sz w:val="24"/>
                <w:szCs w:val="24"/>
              </w:rPr>
              <w:t xml:space="preserve">  $2,000 annually.</w:t>
            </w:r>
            <w:r w:rsidR="00324F40" w:rsidRPr="00C77D83">
              <w:rPr>
                <w:sz w:val="24"/>
                <w:szCs w:val="24"/>
              </w:rPr>
              <w:t xml:space="preserve"> </w:t>
            </w:r>
          </w:p>
          <w:p w14:paraId="66A62868" w14:textId="1E911EB1" w:rsidR="00324F40" w:rsidRPr="00C77D83" w:rsidRDefault="00324F40" w:rsidP="005B6CE9">
            <w:pPr>
              <w:pStyle w:val="ListParagraph"/>
              <w:numPr>
                <w:ilvl w:val="0"/>
                <w:numId w:val="1"/>
              </w:numPr>
              <w:autoSpaceDE w:val="0"/>
              <w:autoSpaceDN w:val="0"/>
              <w:adjustRightInd w:val="0"/>
              <w:spacing w:after="0" w:line="240" w:lineRule="auto"/>
              <w:ind w:left="511" w:hanging="465"/>
              <w:rPr>
                <w:b/>
                <w:i/>
                <w:color w:val="7030A0"/>
                <w:sz w:val="28"/>
                <w:szCs w:val="28"/>
              </w:rPr>
            </w:pPr>
            <w:r w:rsidRPr="00C77D83">
              <w:rPr>
                <w:b/>
                <w:i/>
                <w:color w:val="7030A0"/>
                <w:sz w:val="28"/>
                <w:szCs w:val="28"/>
              </w:rPr>
              <w:t>A list of required tools and equipment for concrete testing lab and the wood shop will be submitted. Due to Construction Management ACCE re-accreditation, the requested budget may exceed the amount shown.</w:t>
            </w:r>
          </w:p>
          <w:p w14:paraId="405341B8" w14:textId="77777777" w:rsidR="00C77D83" w:rsidRPr="00C77D83" w:rsidRDefault="00C77D83" w:rsidP="00C77D83">
            <w:pPr>
              <w:pStyle w:val="ListParagraph"/>
              <w:autoSpaceDE w:val="0"/>
              <w:autoSpaceDN w:val="0"/>
              <w:adjustRightInd w:val="0"/>
              <w:spacing w:after="0" w:line="240" w:lineRule="auto"/>
              <w:ind w:left="511"/>
              <w:rPr>
                <w:b/>
                <w:i/>
                <w:color w:val="7030A0"/>
                <w:sz w:val="28"/>
                <w:szCs w:val="28"/>
              </w:rPr>
            </w:pPr>
          </w:p>
          <w:p w14:paraId="70A6C0B0" w14:textId="2FB7171D" w:rsidR="004579AD" w:rsidRPr="00C77D83" w:rsidRDefault="004579AD" w:rsidP="005B6CE9">
            <w:pPr>
              <w:pStyle w:val="ListParagraph"/>
              <w:numPr>
                <w:ilvl w:val="0"/>
                <w:numId w:val="1"/>
              </w:numPr>
              <w:autoSpaceDE w:val="0"/>
              <w:autoSpaceDN w:val="0"/>
              <w:adjustRightInd w:val="0"/>
              <w:spacing w:after="0" w:line="240" w:lineRule="auto"/>
              <w:ind w:left="511" w:hanging="465"/>
              <w:rPr>
                <w:b/>
                <w:i/>
                <w:color w:val="7030A0"/>
                <w:sz w:val="28"/>
                <w:szCs w:val="28"/>
              </w:rPr>
            </w:pPr>
            <w:r w:rsidRPr="00C77D83">
              <w:rPr>
                <w:b/>
                <w:i/>
                <w:color w:val="7030A0"/>
                <w:sz w:val="28"/>
                <w:szCs w:val="28"/>
              </w:rPr>
              <w:t xml:space="preserve">Several book cases are required to file </w:t>
            </w:r>
            <w:r w:rsidRPr="00C77D83">
              <w:rPr>
                <w:b/>
                <w:i/>
                <w:color w:val="7030A0"/>
                <w:sz w:val="28"/>
                <w:szCs w:val="28"/>
              </w:rPr>
              <w:lastRenderedPageBreak/>
              <w:t xml:space="preserve">the necessary course books and other filed </w:t>
            </w:r>
            <w:r w:rsidR="00C77D83" w:rsidRPr="00C77D83">
              <w:rPr>
                <w:b/>
                <w:i/>
                <w:color w:val="7030A0"/>
                <w:sz w:val="28"/>
                <w:szCs w:val="28"/>
              </w:rPr>
              <w:t xml:space="preserve">required </w:t>
            </w:r>
            <w:r w:rsidRPr="00C77D83">
              <w:rPr>
                <w:b/>
                <w:i/>
                <w:color w:val="7030A0"/>
                <w:sz w:val="28"/>
                <w:szCs w:val="28"/>
              </w:rPr>
              <w:t>material</w:t>
            </w:r>
            <w:r w:rsidR="00C77D83" w:rsidRPr="00C77D83">
              <w:rPr>
                <w:b/>
                <w:i/>
                <w:color w:val="7030A0"/>
                <w:sz w:val="28"/>
                <w:szCs w:val="28"/>
              </w:rPr>
              <w:t xml:space="preserve">. These documentations must be accessible to the visiting accreditation team. </w:t>
            </w:r>
          </w:p>
          <w:p w14:paraId="6E4A6C06" w14:textId="77777777" w:rsidR="00DC29DF" w:rsidRPr="00C77D83" w:rsidRDefault="00DC29DF" w:rsidP="00DC29DF">
            <w:pPr>
              <w:pStyle w:val="ListParagraph"/>
              <w:autoSpaceDE w:val="0"/>
              <w:autoSpaceDN w:val="0"/>
              <w:adjustRightInd w:val="0"/>
              <w:spacing w:after="0" w:line="240" w:lineRule="auto"/>
              <w:ind w:left="511"/>
              <w:rPr>
                <w:b/>
                <w:i/>
                <w:color w:val="7030A0"/>
                <w:sz w:val="28"/>
                <w:szCs w:val="28"/>
              </w:rPr>
            </w:pPr>
          </w:p>
          <w:p w14:paraId="121321BC" w14:textId="77777777" w:rsidR="005B6CE9" w:rsidRPr="00C77D83" w:rsidRDefault="005B6CE9" w:rsidP="005B6CE9">
            <w:pPr>
              <w:pStyle w:val="ListParagraph"/>
              <w:numPr>
                <w:ilvl w:val="0"/>
                <w:numId w:val="1"/>
              </w:numPr>
              <w:autoSpaceDE w:val="0"/>
              <w:autoSpaceDN w:val="0"/>
              <w:adjustRightInd w:val="0"/>
              <w:spacing w:after="0" w:line="240" w:lineRule="auto"/>
              <w:ind w:left="496"/>
              <w:rPr>
                <w:b/>
                <w:i/>
                <w:color w:val="7030A0"/>
                <w:sz w:val="28"/>
                <w:szCs w:val="28"/>
              </w:rPr>
            </w:pPr>
            <w:r w:rsidRPr="00C77D83">
              <w:rPr>
                <w:b/>
                <w:i/>
                <w:color w:val="7030A0"/>
                <w:sz w:val="28"/>
                <w:szCs w:val="28"/>
              </w:rPr>
              <w:t>An L-19 employee has been requested and its justifications has been submitted to the Dean’s office. This request is due to:</w:t>
            </w:r>
          </w:p>
          <w:p w14:paraId="28D26F75" w14:textId="1231134A" w:rsidR="005B6CE9" w:rsidRPr="00C77D83" w:rsidRDefault="005B6CE9" w:rsidP="005B6CE9">
            <w:pPr>
              <w:pStyle w:val="ListParagraph"/>
              <w:numPr>
                <w:ilvl w:val="0"/>
                <w:numId w:val="2"/>
              </w:numPr>
              <w:autoSpaceDE w:val="0"/>
              <w:autoSpaceDN w:val="0"/>
              <w:adjustRightInd w:val="0"/>
              <w:spacing w:after="0" w:line="240" w:lineRule="auto"/>
              <w:rPr>
                <w:b/>
                <w:i/>
                <w:color w:val="7030A0"/>
                <w:sz w:val="28"/>
                <w:szCs w:val="28"/>
              </w:rPr>
            </w:pPr>
            <w:r w:rsidRPr="00C77D83">
              <w:rPr>
                <w:b/>
                <w:i/>
                <w:color w:val="7030A0"/>
                <w:sz w:val="28"/>
                <w:szCs w:val="28"/>
              </w:rPr>
              <w:t xml:space="preserve">the volume of work and duties that the Program Coordinator is required to perform. The program Coordinator must be present in the main Jefferson Campus to perform his duties and visit Pell City campus to </w:t>
            </w:r>
            <w:r w:rsidRPr="00C77D83">
              <w:rPr>
                <w:b/>
                <w:i/>
                <w:color w:val="7030A0"/>
                <w:sz w:val="28"/>
                <w:szCs w:val="28"/>
              </w:rPr>
              <w:lastRenderedPageBreak/>
              <w:t>coordinate Ironworker program as well.</w:t>
            </w:r>
          </w:p>
          <w:p w14:paraId="5C8F05A9" w14:textId="04472C84" w:rsidR="005B6CE9" w:rsidRPr="00C77D83" w:rsidRDefault="005B6CE9" w:rsidP="005B6CE9">
            <w:pPr>
              <w:pStyle w:val="ListParagraph"/>
              <w:numPr>
                <w:ilvl w:val="0"/>
                <w:numId w:val="2"/>
              </w:numPr>
              <w:autoSpaceDE w:val="0"/>
              <w:autoSpaceDN w:val="0"/>
              <w:adjustRightInd w:val="0"/>
              <w:spacing w:after="0" w:line="240" w:lineRule="auto"/>
              <w:rPr>
                <w:b/>
                <w:i/>
                <w:color w:val="7030A0"/>
                <w:sz w:val="28"/>
                <w:szCs w:val="28"/>
              </w:rPr>
            </w:pPr>
            <w:r w:rsidRPr="00C77D83">
              <w:rPr>
                <w:b/>
                <w:i/>
                <w:color w:val="7030A0"/>
                <w:sz w:val="28"/>
                <w:szCs w:val="28"/>
              </w:rPr>
              <w:t>The extra required work due to ACCE re-accreditation process for Construction Management during Fall 2018 and Spring 2019.</w:t>
            </w:r>
          </w:p>
          <w:p w14:paraId="34676B8E" w14:textId="77777777" w:rsidR="00045B97" w:rsidRPr="00C77D83" w:rsidRDefault="005B6CE9" w:rsidP="005B6CE9">
            <w:pPr>
              <w:pStyle w:val="ListParagraph"/>
              <w:numPr>
                <w:ilvl w:val="0"/>
                <w:numId w:val="2"/>
              </w:numPr>
              <w:autoSpaceDE w:val="0"/>
              <w:autoSpaceDN w:val="0"/>
              <w:adjustRightInd w:val="0"/>
              <w:spacing w:after="0" w:line="240" w:lineRule="auto"/>
              <w:rPr>
                <w:b/>
                <w:i/>
                <w:color w:val="7030A0"/>
                <w:sz w:val="28"/>
                <w:szCs w:val="28"/>
              </w:rPr>
            </w:pPr>
            <w:r w:rsidRPr="00C77D83">
              <w:rPr>
                <w:b/>
                <w:i/>
                <w:color w:val="7030A0"/>
                <w:sz w:val="28"/>
                <w:szCs w:val="28"/>
              </w:rPr>
              <w:t xml:space="preserve">To insure the departmental physical </w:t>
            </w:r>
            <w:r w:rsidR="00DC29DF" w:rsidRPr="00C77D83">
              <w:rPr>
                <w:b/>
                <w:i/>
                <w:color w:val="7030A0"/>
                <w:sz w:val="28"/>
                <w:szCs w:val="28"/>
              </w:rPr>
              <w:t xml:space="preserve">facilities </w:t>
            </w:r>
            <w:r w:rsidRPr="00C77D83">
              <w:rPr>
                <w:b/>
                <w:i/>
                <w:color w:val="7030A0"/>
                <w:sz w:val="28"/>
                <w:szCs w:val="28"/>
              </w:rPr>
              <w:t>function</w:t>
            </w:r>
            <w:r w:rsidR="00DC29DF" w:rsidRPr="00C77D83">
              <w:rPr>
                <w:b/>
                <w:i/>
                <w:color w:val="7030A0"/>
                <w:sz w:val="28"/>
                <w:szCs w:val="28"/>
              </w:rPr>
              <w:t>alities</w:t>
            </w:r>
            <w:r w:rsidRPr="00C77D83">
              <w:rPr>
                <w:b/>
                <w:i/>
                <w:color w:val="7030A0"/>
                <w:sz w:val="28"/>
                <w:szCs w:val="28"/>
              </w:rPr>
              <w:t xml:space="preserve"> and </w:t>
            </w:r>
            <w:r w:rsidR="00DC29DF" w:rsidRPr="00C77D83">
              <w:rPr>
                <w:b/>
                <w:i/>
                <w:color w:val="7030A0"/>
                <w:sz w:val="28"/>
                <w:szCs w:val="28"/>
              </w:rPr>
              <w:t>being certain that everything is equipped for the re-accreditation visit in Spring 2019.</w:t>
            </w:r>
          </w:p>
          <w:p w14:paraId="398364EC" w14:textId="01041460" w:rsidR="005B6CE9" w:rsidRPr="00C77D83" w:rsidRDefault="00045B97" w:rsidP="00045B97">
            <w:pPr>
              <w:autoSpaceDE w:val="0"/>
              <w:autoSpaceDN w:val="0"/>
              <w:adjustRightInd w:val="0"/>
              <w:spacing w:after="0" w:line="240" w:lineRule="auto"/>
              <w:ind w:left="376" w:hanging="376"/>
              <w:rPr>
                <w:b/>
                <w:i/>
                <w:color w:val="7030A0"/>
                <w:sz w:val="28"/>
                <w:szCs w:val="28"/>
              </w:rPr>
            </w:pPr>
            <w:r w:rsidRPr="00C77D83">
              <w:rPr>
                <w:b/>
                <w:i/>
                <w:color w:val="7030A0"/>
                <w:sz w:val="28"/>
                <w:szCs w:val="28"/>
              </w:rPr>
              <w:t>c.</w:t>
            </w:r>
            <w:r w:rsidR="00DC29DF" w:rsidRPr="00C77D83">
              <w:rPr>
                <w:b/>
                <w:i/>
                <w:color w:val="7030A0"/>
                <w:sz w:val="28"/>
                <w:szCs w:val="28"/>
              </w:rPr>
              <w:t xml:space="preserve"> </w:t>
            </w:r>
            <w:r w:rsidR="005B6CE9" w:rsidRPr="00C77D83">
              <w:rPr>
                <w:b/>
                <w:i/>
                <w:color w:val="7030A0"/>
                <w:sz w:val="28"/>
                <w:szCs w:val="28"/>
              </w:rPr>
              <w:t xml:space="preserve"> </w:t>
            </w:r>
            <w:r w:rsidRPr="00C77D83">
              <w:rPr>
                <w:b/>
                <w:i/>
                <w:color w:val="7030A0"/>
                <w:sz w:val="28"/>
                <w:szCs w:val="28"/>
              </w:rPr>
              <w:t xml:space="preserve">Request to purchase other additional tools, equipment, furniture, etc. may be submitted due to the last moment preparations for </w:t>
            </w:r>
            <w:r w:rsidRPr="00C77D83">
              <w:rPr>
                <w:b/>
                <w:i/>
                <w:color w:val="7030A0"/>
                <w:sz w:val="28"/>
                <w:szCs w:val="28"/>
              </w:rPr>
              <w:lastRenderedPageBreak/>
              <w:t xml:space="preserve">re-accreditation visit. </w:t>
            </w:r>
          </w:p>
          <w:p w14:paraId="4C6BB57E" w14:textId="4428A747" w:rsidR="0000358F" w:rsidRPr="00C77D83" w:rsidRDefault="00324F40" w:rsidP="00324F40">
            <w:pPr>
              <w:pStyle w:val="ListParagraph"/>
              <w:autoSpaceDE w:val="0"/>
              <w:autoSpaceDN w:val="0"/>
              <w:adjustRightInd w:val="0"/>
              <w:spacing w:after="0" w:line="240" w:lineRule="auto"/>
              <w:ind w:left="226" w:hanging="90"/>
              <w:rPr>
                <w:i/>
                <w:color w:val="7030A0"/>
                <w:sz w:val="24"/>
                <w:szCs w:val="24"/>
              </w:rPr>
            </w:pPr>
            <w:r w:rsidRPr="00C77D83">
              <w:rPr>
                <w:i/>
                <w:color w:val="7030A0"/>
                <w:sz w:val="24"/>
                <w:szCs w:val="24"/>
              </w:rPr>
              <w:t xml:space="preserve"> </w:t>
            </w:r>
          </w:p>
          <w:p w14:paraId="5B1E7E2F" w14:textId="77777777" w:rsidR="0000358F" w:rsidRPr="00C77D83" w:rsidRDefault="0000358F" w:rsidP="00743770">
            <w:pPr>
              <w:pStyle w:val="ListParagraph"/>
              <w:autoSpaceDE w:val="0"/>
              <w:autoSpaceDN w:val="0"/>
              <w:adjustRightInd w:val="0"/>
              <w:ind w:left="316" w:hanging="316"/>
              <w:rPr>
                <w:sz w:val="24"/>
                <w:szCs w:val="24"/>
              </w:rPr>
            </w:pPr>
            <w:r w:rsidRPr="00C77D83">
              <w:rPr>
                <w:b/>
                <w:sz w:val="24"/>
                <w:szCs w:val="24"/>
              </w:rPr>
              <w:t xml:space="preserve">b) </w:t>
            </w:r>
            <w:r w:rsidRPr="00C77D83">
              <w:rPr>
                <w:sz w:val="24"/>
                <w:szCs w:val="24"/>
              </w:rPr>
              <w:t>The College IT Department will</w:t>
            </w:r>
            <w:r w:rsidRPr="00C77D83">
              <w:rPr>
                <w:b/>
                <w:sz w:val="24"/>
                <w:szCs w:val="24"/>
              </w:rPr>
              <w:t xml:space="preserve"> </w:t>
            </w:r>
            <w:r w:rsidRPr="00C77D83">
              <w:rPr>
                <w:sz w:val="24"/>
                <w:szCs w:val="24"/>
              </w:rPr>
              <w:t>estimate the cost for Projector and Screen for conference room.</w:t>
            </w:r>
          </w:p>
        </w:tc>
      </w:tr>
      <w:tr w:rsidR="00DC29DF" w:rsidRPr="002805E5" w14:paraId="0AD06EF3" w14:textId="77777777" w:rsidTr="00F33A88">
        <w:trPr>
          <w:trHeight w:val="54"/>
        </w:trPr>
        <w:tc>
          <w:tcPr>
            <w:tcW w:w="2506" w:type="dxa"/>
            <w:tcBorders>
              <w:right w:val="single" w:sz="6" w:space="0" w:color="auto"/>
            </w:tcBorders>
          </w:tcPr>
          <w:p w14:paraId="78ADFCD8" w14:textId="0356D6EC" w:rsidR="0000358F" w:rsidRPr="0021398D" w:rsidRDefault="00324F40" w:rsidP="00743770">
            <w:pPr>
              <w:pStyle w:val="Default"/>
              <w:rPr>
                <w:b/>
                <w:color w:val="auto"/>
                <w:sz w:val="28"/>
                <w:szCs w:val="28"/>
              </w:rPr>
            </w:pPr>
            <w:r>
              <w:rPr>
                <w:b/>
                <w:bCs/>
                <w:color w:val="auto"/>
                <w:sz w:val="28"/>
                <w:szCs w:val="28"/>
              </w:rPr>
              <w:lastRenderedPageBreak/>
              <w:t>2</w:t>
            </w:r>
            <w:r w:rsidR="0000358F" w:rsidRPr="0021398D">
              <w:rPr>
                <w:b/>
                <w:bCs/>
                <w:color w:val="auto"/>
                <w:sz w:val="28"/>
                <w:szCs w:val="28"/>
              </w:rPr>
              <w:t xml:space="preserve">.) Offer the latest computer/software technology available to the construction and architecture industries. </w:t>
            </w:r>
          </w:p>
          <w:p w14:paraId="45C9E6ED" w14:textId="77777777" w:rsidR="0000358F" w:rsidRDefault="0000358F" w:rsidP="00743770"/>
          <w:p w14:paraId="6DACE0B2" w14:textId="77777777" w:rsidR="0000358F" w:rsidRPr="002F00D0" w:rsidRDefault="0000358F" w:rsidP="00743770">
            <w:pPr>
              <w:rPr>
                <w:b/>
                <w:i/>
                <w:color w:val="C00000"/>
                <w:sz w:val="28"/>
                <w:szCs w:val="28"/>
                <w:u w:val="single"/>
              </w:rPr>
            </w:pPr>
            <w:r w:rsidRPr="002F00D0">
              <w:rPr>
                <w:b/>
                <w:i/>
                <w:color w:val="C00000"/>
                <w:sz w:val="28"/>
                <w:szCs w:val="28"/>
                <w:u w:val="single"/>
              </w:rPr>
              <w:t xml:space="preserve">Program Outcomes  </w:t>
            </w:r>
          </w:p>
          <w:p w14:paraId="1C34FB43" w14:textId="77777777" w:rsidR="0000358F" w:rsidRPr="00300EEE" w:rsidRDefault="0000358F" w:rsidP="00743770">
            <w:pPr>
              <w:rPr>
                <w:i/>
                <w:color w:val="C00000"/>
                <w:sz w:val="24"/>
                <w:szCs w:val="24"/>
              </w:rPr>
            </w:pPr>
            <w:r w:rsidRPr="00300EEE">
              <w:rPr>
                <w:i/>
                <w:color w:val="C00000"/>
                <w:sz w:val="24"/>
                <w:szCs w:val="24"/>
              </w:rPr>
              <w:t xml:space="preserve">1. </w:t>
            </w:r>
            <w:r>
              <w:rPr>
                <w:i/>
                <w:color w:val="C00000"/>
                <w:sz w:val="24"/>
                <w:szCs w:val="24"/>
              </w:rPr>
              <w:t>Local and National</w:t>
            </w:r>
            <w:r w:rsidRPr="00300EEE">
              <w:rPr>
                <w:i/>
                <w:color w:val="C00000"/>
                <w:sz w:val="24"/>
                <w:szCs w:val="24"/>
              </w:rPr>
              <w:t xml:space="preserve"> employers indicate</w:t>
            </w:r>
            <w:r>
              <w:rPr>
                <w:i/>
                <w:color w:val="C00000"/>
                <w:sz w:val="24"/>
                <w:szCs w:val="24"/>
              </w:rPr>
              <w:t xml:space="preserve"> the need for</w:t>
            </w:r>
            <w:r w:rsidRPr="00300EEE">
              <w:rPr>
                <w:i/>
                <w:color w:val="C00000"/>
                <w:sz w:val="24"/>
                <w:szCs w:val="24"/>
              </w:rPr>
              <w:t xml:space="preserve"> graduates </w:t>
            </w:r>
            <w:r>
              <w:rPr>
                <w:i/>
                <w:color w:val="C00000"/>
                <w:sz w:val="24"/>
                <w:szCs w:val="24"/>
              </w:rPr>
              <w:t>in Building Science Programs</w:t>
            </w:r>
            <w:r w:rsidRPr="00300EEE">
              <w:rPr>
                <w:i/>
                <w:color w:val="C00000"/>
                <w:sz w:val="24"/>
                <w:szCs w:val="24"/>
              </w:rPr>
              <w:t xml:space="preserve">. </w:t>
            </w:r>
          </w:p>
          <w:p w14:paraId="3797F0B6" w14:textId="77777777" w:rsidR="0000358F" w:rsidRDefault="0000358F" w:rsidP="00743770">
            <w:pPr>
              <w:rPr>
                <w:i/>
                <w:color w:val="C00000"/>
                <w:sz w:val="28"/>
                <w:szCs w:val="28"/>
              </w:rPr>
            </w:pPr>
          </w:p>
          <w:p w14:paraId="5AFA58DF" w14:textId="77777777" w:rsidR="0000358F" w:rsidRPr="002F00D0" w:rsidRDefault="0000358F" w:rsidP="00743770">
            <w:pPr>
              <w:rPr>
                <w:b/>
                <w:i/>
                <w:color w:val="C00000"/>
                <w:sz w:val="28"/>
                <w:szCs w:val="28"/>
                <w:u w:val="single"/>
              </w:rPr>
            </w:pPr>
            <w:r w:rsidRPr="002F00D0">
              <w:rPr>
                <w:b/>
                <w:i/>
                <w:color w:val="C00000"/>
                <w:sz w:val="28"/>
                <w:szCs w:val="28"/>
                <w:u w:val="single"/>
              </w:rPr>
              <w:t xml:space="preserve">Program Level Student Learning Outcomes: </w:t>
            </w:r>
          </w:p>
          <w:p w14:paraId="51304C49" w14:textId="77777777" w:rsidR="0000358F" w:rsidRDefault="0000358F" w:rsidP="00743770">
            <w:pPr>
              <w:rPr>
                <w:i/>
                <w:color w:val="FF0000"/>
                <w:sz w:val="24"/>
                <w:szCs w:val="24"/>
              </w:rPr>
            </w:pPr>
            <w:r w:rsidRPr="00E374C7">
              <w:rPr>
                <w:i/>
                <w:color w:val="FF0000"/>
                <w:sz w:val="24"/>
                <w:szCs w:val="24"/>
              </w:rPr>
              <w:t>4. Demonstrate the ability to use current technology related to the construction process.</w:t>
            </w:r>
          </w:p>
          <w:p w14:paraId="44EB6E3A" w14:textId="77777777" w:rsidR="0000358F" w:rsidRPr="002805E5" w:rsidRDefault="0000358F" w:rsidP="00743770"/>
        </w:tc>
        <w:tc>
          <w:tcPr>
            <w:tcW w:w="2539" w:type="dxa"/>
            <w:tcBorders>
              <w:left w:val="single" w:sz="6"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323"/>
            </w:tblGrid>
            <w:tr w:rsidR="0000358F" w:rsidRPr="00C77D83" w14:paraId="22BF45A1" w14:textId="77777777" w:rsidTr="00743770">
              <w:trPr>
                <w:trHeight w:val="931"/>
              </w:trPr>
              <w:tc>
                <w:tcPr>
                  <w:tcW w:w="0" w:type="auto"/>
                </w:tcPr>
                <w:p w14:paraId="16F07B84" w14:textId="77777777" w:rsidR="0000358F" w:rsidRPr="00C77D83" w:rsidRDefault="0000358F" w:rsidP="00743770">
                  <w:pPr>
                    <w:autoSpaceDE w:val="0"/>
                    <w:autoSpaceDN w:val="0"/>
                    <w:adjustRightInd w:val="0"/>
                    <w:spacing w:after="0" w:line="240" w:lineRule="auto"/>
                    <w:rPr>
                      <w:rFonts w:ascii="Calibri" w:hAnsi="Calibri" w:cs="Calibri"/>
                      <w:color w:val="000000"/>
                      <w:sz w:val="24"/>
                      <w:szCs w:val="24"/>
                    </w:rPr>
                  </w:pPr>
                  <w:r w:rsidRPr="00C77D83">
                    <w:rPr>
                      <w:rFonts w:ascii="Calibri" w:hAnsi="Calibri" w:cs="Calibri"/>
                      <w:b/>
                      <w:color w:val="000000"/>
                      <w:sz w:val="24"/>
                      <w:szCs w:val="24"/>
                    </w:rPr>
                    <w:t>a.)</w:t>
                  </w:r>
                  <w:r w:rsidRPr="00C77D83">
                    <w:rPr>
                      <w:rFonts w:ascii="Calibri" w:hAnsi="Calibri" w:cs="Calibri"/>
                      <w:color w:val="000000"/>
                      <w:sz w:val="24"/>
                      <w:szCs w:val="24"/>
                    </w:rPr>
                    <w:t xml:space="preserve"> The hardware requirements within the department are depend upon the software requirements. </w:t>
                  </w:r>
                </w:p>
              </w:tc>
            </w:tr>
          </w:tbl>
          <w:p w14:paraId="1EDF00B1" w14:textId="77777777" w:rsidR="0000358F" w:rsidRPr="002805E5" w:rsidRDefault="0000358F" w:rsidP="00743770">
            <w:pPr>
              <w:pStyle w:val="ListParagraph"/>
              <w:ind w:left="-4"/>
            </w:pPr>
          </w:p>
        </w:tc>
        <w:tc>
          <w:tcPr>
            <w:tcW w:w="2393" w:type="dxa"/>
            <w:tcBorders>
              <w:left w:val="single" w:sz="4" w:space="0" w:color="auto"/>
              <w:right w:val="single" w:sz="6" w:space="0" w:color="auto"/>
            </w:tcBorders>
          </w:tcPr>
          <w:p w14:paraId="6C2A398D" w14:textId="77777777" w:rsidR="0000358F" w:rsidRPr="00C77D83" w:rsidRDefault="0000358F" w:rsidP="00743770">
            <w:pPr>
              <w:pStyle w:val="Default"/>
              <w:rPr>
                <w:sz w:val="24"/>
                <w:szCs w:val="24"/>
              </w:rPr>
            </w:pPr>
            <w:r w:rsidRPr="0021398D">
              <w:rPr>
                <w:b/>
                <w:sz w:val="28"/>
                <w:szCs w:val="28"/>
              </w:rPr>
              <w:t>a.)</w:t>
            </w:r>
            <w:r w:rsidRPr="0021398D">
              <w:rPr>
                <w:sz w:val="28"/>
                <w:szCs w:val="28"/>
              </w:rPr>
              <w:t xml:space="preserve"> </w:t>
            </w:r>
            <w:r w:rsidRPr="00C77D83">
              <w:rPr>
                <w:sz w:val="24"/>
                <w:szCs w:val="24"/>
              </w:rPr>
              <w:t xml:space="preserve">CBST Industry Advisory Board (IAC) along with the CBST faculty determines the adequacy of the department’s computer hardware and software twice a year during IAB meetings. </w:t>
            </w:r>
          </w:p>
          <w:p w14:paraId="2AEEB95B" w14:textId="77777777" w:rsidR="0000358F" w:rsidRPr="002805E5" w:rsidRDefault="0000358F" w:rsidP="00743770">
            <w:pPr>
              <w:pStyle w:val="ListParagraph"/>
              <w:ind w:left="21" w:hanging="21"/>
            </w:pPr>
          </w:p>
        </w:tc>
        <w:tc>
          <w:tcPr>
            <w:tcW w:w="2822" w:type="dxa"/>
            <w:tcBorders>
              <w:left w:val="single" w:sz="6" w:space="0" w:color="auto"/>
            </w:tcBorders>
          </w:tcPr>
          <w:p w14:paraId="23499786" w14:textId="77777777" w:rsidR="0000358F" w:rsidRPr="00C77D83" w:rsidRDefault="0000358F" w:rsidP="00743770">
            <w:pPr>
              <w:pStyle w:val="ListParagraph"/>
              <w:ind w:left="0"/>
              <w:rPr>
                <w:sz w:val="24"/>
                <w:szCs w:val="24"/>
              </w:rPr>
            </w:pPr>
            <w:r w:rsidRPr="00C77D83">
              <w:rPr>
                <w:b/>
                <w:sz w:val="24"/>
                <w:szCs w:val="24"/>
              </w:rPr>
              <w:t>a.)</w:t>
            </w:r>
            <w:r w:rsidRPr="00C77D83">
              <w:rPr>
                <w:sz w:val="24"/>
                <w:szCs w:val="24"/>
              </w:rPr>
              <w:t xml:space="preserve"> Estimated annual cost for Associated Schools of Construction CBST Program membership is $760.00.</w:t>
            </w:r>
            <w:r w:rsidRPr="00C77D83">
              <w:rPr>
                <w:sz w:val="24"/>
                <w:szCs w:val="24"/>
              </w:rPr>
              <w:tab/>
            </w:r>
          </w:p>
          <w:p w14:paraId="5946C3BF" w14:textId="77777777" w:rsidR="0000358F" w:rsidRPr="00C77D83" w:rsidRDefault="0000358F" w:rsidP="00743770">
            <w:pPr>
              <w:autoSpaceDE w:val="0"/>
              <w:autoSpaceDN w:val="0"/>
              <w:adjustRightInd w:val="0"/>
              <w:rPr>
                <w:sz w:val="24"/>
                <w:szCs w:val="24"/>
              </w:rPr>
            </w:pPr>
          </w:p>
        </w:tc>
      </w:tr>
      <w:tr w:rsidR="00DC29DF" w:rsidRPr="002805E5" w14:paraId="31700F97" w14:textId="77777777" w:rsidTr="00F33A88">
        <w:trPr>
          <w:trHeight w:val="54"/>
        </w:trPr>
        <w:tc>
          <w:tcPr>
            <w:tcW w:w="2506" w:type="dxa"/>
            <w:tcBorders>
              <w:right w:val="single" w:sz="6" w:space="0" w:color="auto"/>
            </w:tcBorders>
          </w:tcPr>
          <w:p w14:paraId="793D1DB7" w14:textId="05902D05" w:rsidR="0000358F" w:rsidRDefault="00324F40" w:rsidP="00743770">
            <w:pPr>
              <w:pStyle w:val="Default"/>
              <w:rPr>
                <w:b/>
                <w:bCs/>
                <w:color w:val="auto"/>
                <w:sz w:val="28"/>
                <w:szCs w:val="28"/>
              </w:rPr>
            </w:pPr>
            <w:r>
              <w:rPr>
                <w:b/>
                <w:bCs/>
                <w:color w:val="auto"/>
                <w:sz w:val="28"/>
                <w:szCs w:val="28"/>
              </w:rPr>
              <w:lastRenderedPageBreak/>
              <w:t>3</w:t>
            </w:r>
            <w:r w:rsidR="0000358F" w:rsidRPr="00747B96">
              <w:rPr>
                <w:b/>
                <w:bCs/>
                <w:color w:val="auto"/>
                <w:sz w:val="28"/>
                <w:szCs w:val="28"/>
              </w:rPr>
              <w:t xml:space="preserve">.) Secure Articulation </w:t>
            </w:r>
            <w:r w:rsidR="0000358F">
              <w:rPr>
                <w:b/>
                <w:bCs/>
                <w:color w:val="auto"/>
                <w:sz w:val="28"/>
                <w:szCs w:val="28"/>
              </w:rPr>
              <w:t>A</w:t>
            </w:r>
            <w:r w:rsidR="0000358F" w:rsidRPr="00747B96">
              <w:rPr>
                <w:b/>
                <w:bCs/>
                <w:color w:val="auto"/>
                <w:sz w:val="28"/>
                <w:szCs w:val="28"/>
              </w:rPr>
              <w:t>greement</w:t>
            </w:r>
            <w:r w:rsidR="0000358F">
              <w:rPr>
                <w:b/>
                <w:bCs/>
                <w:color w:val="auto"/>
                <w:sz w:val="28"/>
                <w:szCs w:val="28"/>
              </w:rPr>
              <w:t>s</w:t>
            </w:r>
            <w:r w:rsidR="0000358F" w:rsidRPr="00747B96">
              <w:rPr>
                <w:b/>
                <w:bCs/>
                <w:color w:val="auto"/>
                <w:sz w:val="28"/>
                <w:szCs w:val="28"/>
              </w:rPr>
              <w:t xml:space="preserve"> with</w:t>
            </w:r>
            <w:r w:rsidR="0000358F">
              <w:rPr>
                <w:b/>
                <w:bCs/>
                <w:color w:val="auto"/>
                <w:sz w:val="28"/>
                <w:szCs w:val="28"/>
              </w:rPr>
              <w:t xml:space="preserve"> local and near proximity out of state universities that offer Construction </w:t>
            </w:r>
            <w:proofErr w:type="gramStart"/>
            <w:r w:rsidR="0000358F">
              <w:rPr>
                <w:b/>
                <w:bCs/>
                <w:color w:val="auto"/>
                <w:sz w:val="28"/>
                <w:szCs w:val="28"/>
              </w:rPr>
              <w:t>Bachelor Degrees</w:t>
            </w:r>
            <w:proofErr w:type="gramEnd"/>
            <w:r w:rsidR="0000358F">
              <w:rPr>
                <w:b/>
                <w:bCs/>
                <w:color w:val="auto"/>
                <w:sz w:val="28"/>
                <w:szCs w:val="28"/>
              </w:rPr>
              <w:t xml:space="preserve">. </w:t>
            </w:r>
          </w:p>
          <w:p w14:paraId="38A9F396" w14:textId="77777777" w:rsidR="0000358F" w:rsidRDefault="0000358F" w:rsidP="00743770">
            <w:pPr>
              <w:pStyle w:val="Default"/>
              <w:rPr>
                <w:bCs/>
                <w:color w:val="auto"/>
              </w:rPr>
            </w:pPr>
          </w:p>
          <w:p w14:paraId="6AF28FF1" w14:textId="77777777" w:rsidR="0000358F" w:rsidRPr="00252462" w:rsidRDefault="0000358F" w:rsidP="00743770">
            <w:pPr>
              <w:rPr>
                <w:b/>
                <w:bCs/>
                <w:sz w:val="28"/>
                <w:szCs w:val="28"/>
              </w:rPr>
            </w:pPr>
            <w:r w:rsidRPr="00252462">
              <w:rPr>
                <w:b/>
                <w:bCs/>
                <w:sz w:val="28"/>
                <w:szCs w:val="28"/>
              </w:rPr>
              <w:t>(ongoing goal)</w:t>
            </w:r>
          </w:p>
        </w:tc>
        <w:tc>
          <w:tcPr>
            <w:tcW w:w="2539" w:type="dxa"/>
            <w:tcBorders>
              <w:left w:val="single" w:sz="6" w:space="0" w:color="auto"/>
              <w:right w:val="single" w:sz="4" w:space="0" w:color="auto"/>
            </w:tcBorders>
          </w:tcPr>
          <w:p w14:paraId="7688F135" w14:textId="6C0ECA8A" w:rsidR="0000358F" w:rsidRPr="00C77D83" w:rsidRDefault="0000358F" w:rsidP="00743770">
            <w:pPr>
              <w:pStyle w:val="Default"/>
              <w:rPr>
                <w:sz w:val="24"/>
                <w:szCs w:val="24"/>
              </w:rPr>
            </w:pPr>
            <w:r w:rsidRPr="00AF177C">
              <w:rPr>
                <w:b/>
                <w:sz w:val="28"/>
                <w:szCs w:val="28"/>
              </w:rPr>
              <w:t>a.)</w:t>
            </w:r>
            <w:r w:rsidRPr="00747B96">
              <w:rPr>
                <w:sz w:val="28"/>
                <w:szCs w:val="28"/>
              </w:rPr>
              <w:t xml:space="preserve"> </w:t>
            </w:r>
            <w:r w:rsidRPr="00C77D83">
              <w:rPr>
                <w:sz w:val="24"/>
                <w:szCs w:val="24"/>
              </w:rPr>
              <w:t xml:space="preserve">Universities that offer Construction </w:t>
            </w:r>
            <w:r w:rsidR="00DC29DF" w:rsidRPr="00C77D83">
              <w:rPr>
                <w:sz w:val="24"/>
                <w:szCs w:val="24"/>
              </w:rPr>
              <w:t>bachelor’s degree</w:t>
            </w:r>
            <w:r w:rsidRPr="00C77D83">
              <w:rPr>
                <w:sz w:val="24"/>
                <w:szCs w:val="24"/>
              </w:rPr>
              <w:t xml:space="preserve"> in neighboring states will be identified. </w:t>
            </w:r>
          </w:p>
          <w:p w14:paraId="7E9A6461" w14:textId="77777777" w:rsidR="0000358F" w:rsidRPr="00C77D83" w:rsidRDefault="0000358F" w:rsidP="00743770">
            <w:pPr>
              <w:pStyle w:val="Default"/>
              <w:rPr>
                <w:b/>
                <w:sz w:val="24"/>
                <w:szCs w:val="24"/>
              </w:rPr>
            </w:pPr>
          </w:p>
          <w:p w14:paraId="0409CD43" w14:textId="77777777" w:rsidR="0000358F" w:rsidRPr="00C77D83" w:rsidRDefault="0000358F" w:rsidP="00743770">
            <w:pPr>
              <w:pStyle w:val="Default"/>
              <w:rPr>
                <w:sz w:val="24"/>
                <w:szCs w:val="24"/>
              </w:rPr>
            </w:pPr>
            <w:r w:rsidRPr="00C77D83">
              <w:rPr>
                <w:b/>
                <w:sz w:val="24"/>
                <w:szCs w:val="24"/>
              </w:rPr>
              <w:t>b.)</w:t>
            </w:r>
            <w:r w:rsidRPr="00C77D83">
              <w:rPr>
                <w:sz w:val="24"/>
                <w:szCs w:val="24"/>
              </w:rPr>
              <w:t xml:space="preserve"> Line of communication will be established with such universities and, their potentials will be explored. </w:t>
            </w:r>
          </w:p>
          <w:p w14:paraId="071425BC" w14:textId="77777777" w:rsidR="0000358F" w:rsidRPr="00C77D83" w:rsidRDefault="0000358F" w:rsidP="00743770">
            <w:pPr>
              <w:pStyle w:val="Default"/>
              <w:rPr>
                <w:sz w:val="24"/>
                <w:szCs w:val="24"/>
              </w:rPr>
            </w:pPr>
            <w:r w:rsidRPr="00C77D83">
              <w:rPr>
                <w:sz w:val="24"/>
                <w:szCs w:val="24"/>
              </w:rPr>
              <w:t xml:space="preserve"> </w:t>
            </w:r>
          </w:p>
          <w:p w14:paraId="156494E7" w14:textId="1DFE7866" w:rsidR="0000358F" w:rsidRPr="00B75B4E" w:rsidRDefault="0000358F" w:rsidP="00C77D83">
            <w:pPr>
              <w:rPr>
                <w:sz w:val="28"/>
                <w:szCs w:val="28"/>
              </w:rPr>
            </w:pPr>
            <w:r w:rsidRPr="00C77D83">
              <w:rPr>
                <w:b/>
                <w:sz w:val="24"/>
                <w:szCs w:val="24"/>
              </w:rPr>
              <w:t>c.)</w:t>
            </w:r>
            <w:r w:rsidRPr="00C77D83">
              <w:rPr>
                <w:sz w:val="24"/>
                <w:szCs w:val="24"/>
              </w:rPr>
              <w:t xml:space="preserve"> Continue to communicate with Auburn University Building Science School regarding an Articulation Agreement between the two schools.</w:t>
            </w:r>
          </w:p>
        </w:tc>
        <w:tc>
          <w:tcPr>
            <w:tcW w:w="2393" w:type="dxa"/>
            <w:tcBorders>
              <w:left w:val="single" w:sz="4" w:space="0" w:color="auto"/>
              <w:right w:val="single" w:sz="6" w:space="0" w:color="auto"/>
            </w:tcBorders>
          </w:tcPr>
          <w:p w14:paraId="4EB12773" w14:textId="77777777" w:rsidR="0000358F" w:rsidRPr="002805E5" w:rsidRDefault="0000358F" w:rsidP="00743770">
            <w:pPr>
              <w:pStyle w:val="ListParagraph"/>
              <w:ind w:left="16"/>
            </w:pPr>
            <w:r w:rsidRPr="007F26DF">
              <w:rPr>
                <w:rFonts w:ascii="Calibri" w:hAnsi="Calibri" w:cs="Calibri"/>
                <w:sz w:val="28"/>
                <w:szCs w:val="28"/>
              </w:rPr>
              <w:t>a</w:t>
            </w:r>
            <w:r w:rsidRPr="00C77D83">
              <w:rPr>
                <w:rFonts w:ascii="Calibri" w:hAnsi="Calibri" w:cs="Calibri"/>
                <w:sz w:val="24"/>
                <w:szCs w:val="24"/>
              </w:rPr>
              <w:t>.) JSCC articulation agreement with Tuskegee University’s Construction Science and Management (CSM) will be utilized as a sample instrument to introduce CBST intentions for such Articulation Agreements.</w:t>
            </w:r>
          </w:p>
        </w:tc>
        <w:tc>
          <w:tcPr>
            <w:tcW w:w="2822" w:type="dxa"/>
            <w:tcBorders>
              <w:left w:val="single" w:sz="6" w:space="0" w:color="auto"/>
            </w:tcBorders>
          </w:tcPr>
          <w:p w14:paraId="7D435631" w14:textId="77777777" w:rsidR="0000358F" w:rsidRPr="00C77D83" w:rsidRDefault="0000358F" w:rsidP="00743770">
            <w:pPr>
              <w:pStyle w:val="Default"/>
              <w:rPr>
                <w:sz w:val="24"/>
                <w:szCs w:val="24"/>
              </w:rPr>
            </w:pPr>
            <w:r w:rsidRPr="007F26DF">
              <w:rPr>
                <w:sz w:val="28"/>
                <w:szCs w:val="28"/>
              </w:rPr>
              <w:t xml:space="preserve">a.) </w:t>
            </w:r>
            <w:r w:rsidRPr="00C77D83">
              <w:rPr>
                <w:sz w:val="24"/>
                <w:szCs w:val="24"/>
              </w:rPr>
              <w:t xml:space="preserve">Faculty travel to universities in neighboring states ($2,000) </w:t>
            </w:r>
          </w:p>
          <w:p w14:paraId="1B4E99D4" w14:textId="77777777" w:rsidR="0000358F" w:rsidRPr="002805E5" w:rsidRDefault="0000358F" w:rsidP="00743770"/>
        </w:tc>
      </w:tr>
      <w:tr w:rsidR="00F33A88" w:rsidRPr="002805E5" w14:paraId="4CDB6CAB" w14:textId="77777777" w:rsidTr="00F33A88">
        <w:trPr>
          <w:trHeight w:val="507"/>
        </w:trPr>
        <w:tc>
          <w:tcPr>
            <w:tcW w:w="5045" w:type="dxa"/>
            <w:gridSpan w:val="2"/>
            <w:tcBorders>
              <w:right w:val="single" w:sz="4" w:space="0" w:color="auto"/>
            </w:tcBorders>
          </w:tcPr>
          <w:p w14:paraId="3FD4B427" w14:textId="36054A3F" w:rsidR="00F33A88" w:rsidRPr="00F33A88" w:rsidRDefault="00F33A88" w:rsidP="00743770">
            <w:pPr>
              <w:pStyle w:val="Default"/>
              <w:rPr>
                <w:b/>
                <w:sz w:val="24"/>
                <w:szCs w:val="24"/>
              </w:rPr>
            </w:pPr>
            <w:r w:rsidRPr="00F33A88">
              <w:rPr>
                <w:b/>
                <w:bCs/>
                <w:sz w:val="24"/>
                <w:szCs w:val="24"/>
              </w:rPr>
              <w:t>Submission date: 10-13-2018</w:t>
            </w:r>
          </w:p>
        </w:tc>
        <w:tc>
          <w:tcPr>
            <w:tcW w:w="5215" w:type="dxa"/>
            <w:gridSpan w:val="2"/>
            <w:tcBorders>
              <w:left w:val="single" w:sz="4" w:space="0" w:color="auto"/>
            </w:tcBorders>
          </w:tcPr>
          <w:p w14:paraId="3C6D26ED" w14:textId="02AB7FE0" w:rsidR="00F33A88" w:rsidRPr="00F33A88" w:rsidRDefault="00F33A88" w:rsidP="00F33A88">
            <w:pPr>
              <w:rPr>
                <w:b/>
                <w:sz w:val="24"/>
                <w:szCs w:val="24"/>
              </w:rPr>
            </w:pPr>
            <w:r w:rsidRPr="00F33A88">
              <w:rPr>
                <w:b/>
                <w:sz w:val="24"/>
                <w:szCs w:val="24"/>
              </w:rPr>
              <w:t>Submitted by:   Mike Safavi, Program Coordinator</w:t>
            </w:r>
          </w:p>
          <w:p w14:paraId="2B934C1B" w14:textId="77777777" w:rsidR="00F33A88" w:rsidRPr="00F33A88" w:rsidRDefault="00F33A88" w:rsidP="00743770">
            <w:pPr>
              <w:pStyle w:val="Default"/>
              <w:rPr>
                <w:sz w:val="24"/>
                <w:szCs w:val="24"/>
              </w:rPr>
            </w:pPr>
          </w:p>
        </w:tc>
      </w:tr>
    </w:tbl>
    <w:p w14:paraId="3312E8D3" w14:textId="77777777" w:rsidR="0000358F" w:rsidRPr="00BB4C08" w:rsidRDefault="0000358F" w:rsidP="0000358F">
      <w:pPr>
        <w:rPr>
          <w:b/>
        </w:rPr>
      </w:pPr>
    </w:p>
    <w:p w14:paraId="7D77E763" w14:textId="77777777" w:rsidR="00503DB8" w:rsidRDefault="00503DB8">
      <w:bookmarkStart w:id="0" w:name="_GoBack"/>
      <w:bookmarkEnd w:id="0"/>
    </w:p>
    <w:sectPr w:rsidR="00503DB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524604575"/>
      <w:docPartObj>
        <w:docPartGallery w:val="Page Numbers (Top of Page)"/>
        <w:docPartUnique/>
      </w:docPartObj>
    </w:sdtPr>
    <w:sdtEndPr>
      <w:rPr>
        <w:b/>
        <w:bCs/>
        <w:noProof/>
        <w:color w:val="auto"/>
        <w:spacing w:val="0"/>
      </w:rPr>
    </w:sdtEndPr>
    <w:sdtContent>
      <w:p w14:paraId="777ABFBD" w14:textId="77777777" w:rsidR="008F746B" w:rsidRDefault="00F33A8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A05751">
          <w:rPr>
            <w:b/>
            <w:bCs/>
            <w:noProof/>
          </w:rPr>
          <w:t>17</w:t>
        </w:r>
        <w:r>
          <w:rPr>
            <w:b/>
            <w:bCs/>
            <w:noProof/>
          </w:rPr>
          <w:fldChar w:fldCharType="end"/>
        </w:r>
      </w:p>
    </w:sdtContent>
  </w:sdt>
  <w:p w14:paraId="3B1AB4BD" w14:textId="77777777" w:rsidR="008F746B" w:rsidRDefault="00F33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A10E5"/>
    <w:multiLevelType w:val="hybridMultilevel"/>
    <w:tmpl w:val="094E5FC4"/>
    <w:lvl w:ilvl="0" w:tplc="BB2402CE">
      <w:start w:val="1"/>
      <w:numFmt w:val="decimal"/>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1" w15:restartNumberingAfterBreak="0">
    <w:nsid w:val="6E685FD0"/>
    <w:multiLevelType w:val="hybridMultilevel"/>
    <w:tmpl w:val="E5EACE58"/>
    <w:lvl w:ilvl="0" w:tplc="04090019">
      <w:start w:val="1"/>
      <w:numFmt w:val="lowerLetter"/>
      <w:lvlText w:val="%1."/>
      <w:lvlJc w:val="left"/>
      <w:pPr>
        <w:ind w:left="856" w:hanging="36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8F"/>
    <w:rsid w:val="0000358F"/>
    <w:rsid w:val="00045B97"/>
    <w:rsid w:val="001416D8"/>
    <w:rsid w:val="00324F40"/>
    <w:rsid w:val="004579AD"/>
    <w:rsid w:val="00503DB8"/>
    <w:rsid w:val="005B6CE9"/>
    <w:rsid w:val="00995D34"/>
    <w:rsid w:val="00C77D83"/>
    <w:rsid w:val="00DC29DF"/>
    <w:rsid w:val="00F3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53D13"/>
  <w15:chartTrackingRefBased/>
  <w15:docId w15:val="{BC278A8E-A176-4015-88BB-E545F42E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58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58F"/>
    <w:pPr>
      <w:ind w:left="720"/>
      <w:contextualSpacing/>
    </w:pPr>
  </w:style>
  <w:style w:type="paragraph" w:styleId="Header">
    <w:name w:val="header"/>
    <w:basedOn w:val="Normal"/>
    <w:link w:val="HeaderChar"/>
    <w:uiPriority w:val="99"/>
    <w:unhideWhenUsed/>
    <w:rsid w:val="00003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58F"/>
    <w:rPr>
      <w:rFonts w:asciiTheme="minorHAnsi" w:hAnsiTheme="minorHAnsi" w:cstheme="minorBidi"/>
      <w:sz w:val="22"/>
      <w:szCs w:val="22"/>
    </w:rPr>
  </w:style>
  <w:style w:type="paragraph" w:customStyle="1" w:styleId="Default">
    <w:name w:val="Default"/>
    <w:rsid w:val="0000358F"/>
    <w:pPr>
      <w:autoSpaceDE w:val="0"/>
      <w:autoSpaceDN w:val="0"/>
      <w:adjustRightInd w:val="0"/>
      <w:spacing w:after="0"/>
    </w:pPr>
    <w:rPr>
      <w:rFonts w:ascii="Calibri" w:hAnsi="Calibri" w:cs="Calibri"/>
      <w:color w:val="000000"/>
    </w:rPr>
  </w:style>
  <w:style w:type="table" w:styleId="TableGrid">
    <w:name w:val="Table Grid"/>
    <w:basedOn w:val="TableNormal"/>
    <w:uiPriority w:val="59"/>
    <w:rsid w:val="0000358F"/>
    <w:pPr>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Safavi</dc:creator>
  <cp:keywords/>
  <dc:description/>
  <cp:lastModifiedBy>Seyed Safavi</cp:lastModifiedBy>
  <cp:revision>8</cp:revision>
  <dcterms:created xsi:type="dcterms:W3CDTF">2018-09-13T21:34:00Z</dcterms:created>
  <dcterms:modified xsi:type="dcterms:W3CDTF">2018-09-13T22:11:00Z</dcterms:modified>
</cp:coreProperties>
</file>