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A9" w:rsidRDefault="00B170A9" w:rsidP="00B170A9">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B170A9" w:rsidRPr="00B81C69" w:rsidTr="00585479">
        <w:tc>
          <w:tcPr>
            <w:tcW w:w="6588" w:type="dxa"/>
          </w:tcPr>
          <w:p w:rsidR="00B170A9" w:rsidRPr="00B81C69" w:rsidRDefault="00B170A9" w:rsidP="00585479">
            <w:pPr>
              <w:rPr>
                <w:b/>
                <w:sz w:val="24"/>
                <w:szCs w:val="24"/>
              </w:rPr>
            </w:pPr>
            <w:r>
              <w:rPr>
                <w:noProof/>
              </w:rPr>
              <w:drawing>
                <wp:inline distT="0" distB="0" distL="0" distR="0" wp14:anchorId="318E6BD7" wp14:editId="3FCBE0E9">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B170A9" w:rsidRPr="00490115" w:rsidRDefault="007F25C7" w:rsidP="007F25C7">
            <w:pPr>
              <w:jc w:val="center"/>
              <w:rPr>
                <w:b/>
                <w:sz w:val="36"/>
                <w:szCs w:val="36"/>
              </w:rPr>
            </w:pPr>
            <w:r>
              <w:rPr>
                <w:b/>
                <w:sz w:val="36"/>
                <w:szCs w:val="36"/>
              </w:rPr>
              <w:t xml:space="preserve">           (Revised) </w:t>
            </w:r>
            <w:r w:rsidR="00B170A9" w:rsidRPr="00490115">
              <w:rPr>
                <w:b/>
                <w:sz w:val="36"/>
                <w:szCs w:val="36"/>
              </w:rPr>
              <w:t>Goal Progress Report</w:t>
            </w:r>
          </w:p>
        </w:tc>
      </w:tr>
    </w:tbl>
    <w:p w:rsidR="00B170A9" w:rsidRPr="002A44E2" w:rsidRDefault="00B170A9" w:rsidP="00B170A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170A9" w:rsidRPr="00B81C69" w:rsidTr="00585479">
        <w:tc>
          <w:tcPr>
            <w:tcW w:w="1291" w:type="dxa"/>
          </w:tcPr>
          <w:p w:rsidR="00B170A9" w:rsidRPr="00D554AC" w:rsidRDefault="00B170A9" w:rsidP="00585479">
            <w:pPr>
              <w:rPr>
                <w:b/>
                <w:sz w:val="28"/>
                <w:szCs w:val="28"/>
              </w:rPr>
            </w:pPr>
            <w:r w:rsidRPr="00D554AC">
              <w:rPr>
                <w:b/>
                <w:sz w:val="28"/>
                <w:szCs w:val="28"/>
              </w:rPr>
              <w:t>Program:</w:t>
            </w:r>
          </w:p>
        </w:tc>
        <w:tc>
          <w:tcPr>
            <w:tcW w:w="5207" w:type="dxa"/>
            <w:tcBorders>
              <w:bottom w:val="single" w:sz="6" w:space="0" w:color="auto"/>
            </w:tcBorders>
          </w:tcPr>
          <w:p w:rsidR="00B170A9" w:rsidRPr="00B81C69" w:rsidRDefault="00A2660F" w:rsidP="00585479">
            <w:pPr>
              <w:rPr>
                <w:b/>
                <w:sz w:val="24"/>
                <w:szCs w:val="24"/>
              </w:rPr>
            </w:pPr>
            <w:r>
              <w:rPr>
                <w:b/>
                <w:sz w:val="24"/>
                <w:szCs w:val="24"/>
              </w:rPr>
              <w:t xml:space="preserve">Division of Transfer/General Studies </w:t>
            </w:r>
          </w:p>
        </w:tc>
        <w:tc>
          <w:tcPr>
            <w:tcW w:w="2610" w:type="dxa"/>
          </w:tcPr>
          <w:p w:rsidR="00B170A9" w:rsidRPr="00D554AC" w:rsidRDefault="00B170A9" w:rsidP="00585479">
            <w:pPr>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tcBorders>
              <w:bottom w:val="single" w:sz="6" w:space="0" w:color="auto"/>
            </w:tcBorders>
          </w:tcPr>
          <w:p w:rsidR="00B170A9" w:rsidRPr="00B81C69" w:rsidRDefault="0077664A" w:rsidP="009C0F5C">
            <w:pPr>
              <w:rPr>
                <w:b/>
                <w:sz w:val="24"/>
                <w:szCs w:val="24"/>
              </w:rPr>
            </w:pPr>
            <w:r>
              <w:rPr>
                <w:b/>
                <w:sz w:val="24"/>
                <w:szCs w:val="24"/>
              </w:rPr>
              <w:t>2015</w:t>
            </w:r>
            <w:r w:rsidR="00A2660F">
              <w:rPr>
                <w:b/>
                <w:sz w:val="24"/>
                <w:szCs w:val="24"/>
              </w:rPr>
              <w:t>-201</w:t>
            </w:r>
            <w:r>
              <w:rPr>
                <w:b/>
                <w:sz w:val="24"/>
                <w:szCs w:val="24"/>
              </w:rPr>
              <w:t>6</w:t>
            </w:r>
          </w:p>
        </w:tc>
      </w:tr>
    </w:tbl>
    <w:p w:rsidR="00B170A9" w:rsidRPr="002A44E2" w:rsidRDefault="00A2660F" w:rsidP="00B170A9">
      <w:pPr>
        <w:rPr>
          <w:b/>
          <w:sz w:val="18"/>
          <w:szCs w:val="18"/>
        </w:rPr>
      </w:pPr>
      <w:r>
        <w:rPr>
          <w:b/>
          <w:sz w:val="18"/>
          <w:szCs w:val="18"/>
        </w:rPr>
        <w:t xml:space="preserve">                                        Jefferson Campus</w:t>
      </w:r>
    </w:p>
    <w:p w:rsidR="00B170A9" w:rsidRDefault="00B170A9" w:rsidP="00B170A9">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45"/>
        <w:gridCol w:w="4296"/>
        <w:gridCol w:w="4723"/>
        <w:gridCol w:w="2288"/>
      </w:tblGrid>
      <w:tr w:rsidR="00B170A9" w:rsidRPr="00D554AC" w:rsidTr="00A2660F">
        <w:tc>
          <w:tcPr>
            <w:tcW w:w="13752" w:type="dxa"/>
            <w:gridSpan w:val="4"/>
            <w:tcBorders>
              <w:bottom w:val="single" w:sz="6" w:space="0" w:color="auto"/>
            </w:tcBorders>
            <w:shd w:val="clear" w:color="auto" w:fill="D9D9D9" w:themeFill="background1" w:themeFillShade="D9"/>
          </w:tcPr>
          <w:p w:rsidR="00B170A9" w:rsidRPr="00D554AC" w:rsidRDefault="00B170A9" w:rsidP="00585479">
            <w:pPr>
              <w:jc w:val="center"/>
              <w:rPr>
                <w:b/>
                <w:sz w:val="32"/>
                <w:szCs w:val="32"/>
              </w:rPr>
            </w:pPr>
          </w:p>
        </w:tc>
      </w:tr>
      <w:tr w:rsidR="00B170A9" w:rsidRPr="00D554AC" w:rsidTr="00A2660F">
        <w:trPr>
          <w:trHeight w:val="54"/>
        </w:trPr>
        <w:tc>
          <w:tcPr>
            <w:tcW w:w="2445" w:type="dxa"/>
            <w:tcBorders>
              <w:left w:val="single" w:sz="6" w:space="0" w:color="auto"/>
              <w:bottom w:val="double" w:sz="4" w:space="0" w:color="auto"/>
              <w:right w:val="single" w:sz="6" w:space="0" w:color="auto"/>
            </w:tcBorders>
          </w:tcPr>
          <w:p w:rsidR="00B170A9" w:rsidRPr="00490115" w:rsidRDefault="00B170A9" w:rsidP="00585479">
            <w:pPr>
              <w:jc w:val="center"/>
              <w:rPr>
                <w:b/>
                <w:sz w:val="16"/>
                <w:szCs w:val="16"/>
              </w:rPr>
            </w:pPr>
          </w:p>
          <w:p w:rsidR="00B170A9" w:rsidRPr="00D554AC" w:rsidRDefault="007F25C7" w:rsidP="00585479">
            <w:pPr>
              <w:jc w:val="center"/>
              <w:rPr>
                <w:b/>
                <w:sz w:val="24"/>
                <w:szCs w:val="24"/>
              </w:rPr>
            </w:pPr>
            <w:r>
              <w:rPr>
                <w:b/>
                <w:sz w:val="24"/>
                <w:szCs w:val="24"/>
              </w:rPr>
              <w:t xml:space="preserve">Revised </w:t>
            </w:r>
            <w:r w:rsidR="00B170A9">
              <w:rPr>
                <w:b/>
                <w:sz w:val="24"/>
                <w:szCs w:val="24"/>
              </w:rPr>
              <w:t>Goals</w:t>
            </w:r>
          </w:p>
        </w:tc>
        <w:tc>
          <w:tcPr>
            <w:tcW w:w="4296" w:type="dxa"/>
            <w:tcBorders>
              <w:left w:val="single" w:sz="6" w:space="0" w:color="auto"/>
              <w:bottom w:val="thinThickSmallGap" w:sz="12" w:space="0" w:color="auto"/>
              <w:right w:val="single" w:sz="4" w:space="0" w:color="auto"/>
            </w:tcBorders>
          </w:tcPr>
          <w:p w:rsidR="00B170A9" w:rsidRPr="00D554AC" w:rsidRDefault="00B170A9" w:rsidP="00585479">
            <w:pPr>
              <w:jc w:val="center"/>
              <w:rPr>
                <w:b/>
                <w:sz w:val="24"/>
                <w:szCs w:val="24"/>
              </w:rPr>
            </w:pPr>
            <w:r>
              <w:rPr>
                <w:b/>
                <w:sz w:val="24"/>
                <w:szCs w:val="24"/>
              </w:rPr>
              <w:t>Request &amp; Justification/Resources</w:t>
            </w:r>
          </w:p>
        </w:tc>
        <w:tc>
          <w:tcPr>
            <w:tcW w:w="4723" w:type="dxa"/>
            <w:tcBorders>
              <w:left w:val="single" w:sz="4" w:space="0" w:color="auto"/>
              <w:bottom w:val="thinThickSmallGap" w:sz="12" w:space="0" w:color="auto"/>
              <w:right w:val="single" w:sz="6" w:space="0" w:color="auto"/>
            </w:tcBorders>
          </w:tcPr>
          <w:p w:rsidR="00B170A9" w:rsidRPr="00490115" w:rsidRDefault="00B170A9" w:rsidP="00585479">
            <w:pPr>
              <w:jc w:val="center"/>
              <w:rPr>
                <w:b/>
                <w:sz w:val="16"/>
                <w:szCs w:val="16"/>
              </w:rPr>
            </w:pPr>
          </w:p>
          <w:p w:rsidR="00B170A9" w:rsidRPr="00D554AC" w:rsidRDefault="00B170A9" w:rsidP="00585479">
            <w:pPr>
              <w:jc w:val="center"/>
              <w:rPr>
                <w:b/>
                <w:sz w:val="24"/>
                <w:szCs w:val="24"/>
              </w:rPr>
            </w:pPr>
            <w:r>
              <w:rPr>
                <w:b/>
                <w:sz w:val="24"/>
                <w:szCs w:val="24"/>
              </w:rPr>
              <w:t>Goal Progress</w:t>
            </w:r>
          </w:p>
        </w:tc>
        <w:tc>
          <w:tcPr>
            <w:tcW w:w="2288" w:type="dxa"/>
            <w:tcBorders>
              <w:left w:val="single" w:sz="6" w:space="0" w:color="auto"/>
              <w:bottom w:val="thinThickSmallGap" w:sz="12" w:space="0" w:color="auto"/>
            </w:tcBorders>
          </w:tcPr>
          <w:p w:rsidR="00B170A9" w:rsidRPr="00D554AC" w:rsidRDefault="00B170A9" w:rsidP="00585479">
            <w:pPr>
              <w:jc w:val="center"/>
              <w:rPr>
                <w:b/>
                <w:sz w:val="24"/>
                <w:szCs w:val="24"/>
              </w:rPr>
            </w:pPr>
            <w:r>
              <w:rPr>
                <w:b/>
                <w:sz w:val="24"/>
                <w:szCs w:val="24"/>
              </w:rPr>
              <w:t>Strategies Implemented &amp; Follow-up</w:t>
            </w:r>
          </w:p>
        </w:tc>
      </w:tr>
      <w:tr w:rsidR="00207D85" w:rsidTr="00A2660F">
        <w:trPr>
          <w:trHeight w:val="54"/>
        </w:trPr>
        <w:tc>
          <w:tcPr>
            <w:tcW w:w="2445" w:type="dxa"/>
            <w:tcBorders>
              <w:top w:val="thinThickSmallGap" w:sz="12" w:space="0" w:color="auto"/>
              <w:right w:val="single" w:sz="6" w:space="0" w:color="auto"/>
            </w:tcBorders>
          </w:tcPr>
          <w:p w:rsidR="0077664A" w:rsidRPr="0077664A" w:rsidRDefault="0077664A" w:rsidP="007F25C7">
            <w:pPr>
              <w:pStyle w:val="Default"/>
              <w:numPr>
                <w:ilvl w:val="0"/>
                <w:numId w:val="5"/>
              </w:numPr>
              <w:rPr>
                <w:rFonts w:ascii="Times New Roman" w:hAnsi="Times New Roman" w:cs="Times New Roman"/>
                <w:sz w:val="18"/>
                <w:szCs w:val="18"/>
              </w:rPr>
            </w:pPr>
            <w:r w:rsidRPr="0077664A">
              <w:rPr>
                <w:rFonts w:ascii="Times New Roman" w:hAnsi="Times New Roman" w:cs="Times New Roman"/>
                <w:b/>
                <w:bCs/>
                <w:sz w:val="18"/>
                <w:szCs w:val="18"/>
              </w:rPr>
              <w:t xml:space="preserve">Meet with the Associate Deans of Distance Education and Shelby campus to discuss ideas and strategies for the upcoming class schedule offerings. </w:t>
            </w:r>
          </w:p>
          <w:p w:rsidR="00207D85" w:rsidRPr="00207D85" w:rsidRDefault="00207D85">
            <w:pPr>
              <w:rPr>
                <w:sz w:val="18"/>
              </w:rPr>
            </w:pPr>
          </w:p>
        </w:tc>
        <w:tc>
          <w:tcPr>
            <w:tcW w:w="4296" w:type="dxa"/>
            <w:tcBorders>
              <w:top w:val="thinThickSmallGap" w:sz="12" w:space="0" w:color="auto"/>
              <w:left w:val="single" w:sz="6" w:space="0" w:color="auto"/>
              <w:right w:val="single" w:sz="4" w:space="0" w:color="auto"/>
            </w:tcBorders>
          </w:tcPr>
          <w:p w:rsidR="0077664A" w:rsidRPr="0077664A" w:rsidRDefault="0077664A" w:rsidP="0077664A">
            <w:pPr>
              <w:pStyle w:val="Default"/>
              <w:rPr>
                <w:rFonts w:ascii="Times New Roman" w:hAnsi="Times New Roman" w:cs="Times New Roman"/>
                <w:sz w:val="20"/>
                <w:szCs w:val="20"/>
              </w:rPr>
            </w:pPr>
            <w:r w:rsidRPr="0077664A">
              <w:rPr>
                <w:rFonts w:ascii="Times New Roman" w:hAnsi="Times New Roman" w:cs="Times New Roman"/>
                <w:sz w:val="20"/>
                <w:szCs w:val="20"/>
              </w:rPr>
              <w:t xml:space="preserve">A. </w:t>
            </w:r>
            <w:r w:rsidRPr="0077664A">
              <w:rPr>
                <w:rFonts w:ascii="Times New Roman" w:hAnsi="Times New Roman" w:cs="Times New Roman"/>
                <w:sz w:val="20"/>
                <w:szCs w:val="20"/>
              </w:rPr>
              <w:t xml:space="preserve">Making sure that all courses in Transfer General Studies Division are added and/or deleted to assure the overall success for each discipline offered at our four campuses. </w:t>
            </w:r>
          </w:p>
          <w:p w:rsidR="0077664A" w:rsidRPr="0077664A" w:rsidRDefault="0077664A" w:rsidP="0077664A">
            <w:pPr>
              <w:pStyle w:val="Default"/>
              <w:rPr>
                <w:rFonts w:ascii="Times New Roman" w:hAnsi="Times New Roman" w:cs="Times New Roman"/>
                <w:sz w:val="20"/>
                <w:szCs w:val="20"/>
              </w:rPr>
            </w:pPr>
            <w:r w:rsidRPr="0077664A">
              <w:rPr>
                <w:rFonts w:ascii="Times New Roman" w:hAnsi="Times New Roman" w:cs="Times New Roman"/>
                <w:sz w:val="20"/>
                <w:szCs w:val="20"/>
              </w:rPr>
              <w:t xml:space="preserve">B. Get feedback from our Department Chairs on the need for each area. </w:t>
            </w:r>
          </w:p>
          <w:p w:rsidR="00207D85" w:rsidRPr="0077664A" w:rsidRDefault="00207D85">
            <w:pPr>
              <w:autoSpaceDE w:val="0"/>
              <w:autoSpaceDN w:val="0"/>
              <w:adjustRightInd w:val="0"/>
              <w:rPr>
                <w:sz w:val="20"/>
                <w:szCs w:val="20"/>
              </w:rPr>
            </w:pPr>
          </w:p>
        </w:tc>
        <w:tc>
          <w:tcPr>
            <w:tcW w:w="4723" w:type="dxa"/>
            <w:tcBorders>
              <w:top w:val="thinThickSmallGap" w:sz="12" w:space="0" w:color="auto"/>
              <w:left w:val="single" w:sz="4" w:space="0" w:color="auto"/>
              <w:right w:val="single" w:sz="6" w:space="0" w:color="auto"/>
            </w:tcBorders>
          </w:tcPr>
          <w:p w:rsidR="0077664A" w:rsidRPr="0077664A" w:rsidRDefault="0077664A" w:rsidP="0077664A">
            <w:pPr>
              <w:pStyle w:val="Default"/>
              <w:rPr>
                <w:rFonts w:ascii="Times New Roman" w:hAnsi="Times New Roman" w:cs="Times New Roman"/>
                <w:sz w:val="20"/>
                <w:szCs w:val="20"/>
              </w:rPr>
            </w:pPr>
            <w:r w:rsidRPr="0077664A">
              <w:rPr>
                <w:rFonts w:ascii="Times New Roman" w:hAnsi="Times New Roman" w:cs="Times New Roman"/>
                <w:sz w:val="20"/>
                <w:szCs w:val="20"/>
              </w:rPr>
              <w:t xml:space="preserve">Use our ARGOS reports at the end of a term to analyze the number of courses cancelled and the enrollment numbers in each course. </w:t>
            </w:r>
          </w:p>
          <w:p w:rsidR="00207D85" w:rsidRPr="0077664A" w:rsidRDefault="00207D85">
            <w:pPr>
              <w:autoSpaceDE w:val="0"/>
              <w:autoSpaceDN w:val="0"/>
              <w:adjustRightInd w:val="0"/>
              <w:rPr>
                <w:sz w:val="20"/>
                <w:szCs w:val="20"/>
              </w:rPr>
            </w:pPr>
          </w:p>
        </w:tc>
        <w:tc>
          <w:tcPr>
            <w:tcW w:w="2288" w:type="dxa"/>
            <w:tcBorders>
              <w:top w:val="thinThickSmallGap" w:sz="12" w:space="0" w:color="auto"/>
              <w:left w:val="single" w:sz="6" w:space="0" w:color="auto"/>
            </w:tcBorders>
          </w:tcPr>
          <w:p w:rsidR="00207D85" w:rsidRPr="00207D85" w:rsidRDefault="0077664A">
            <w:pPr>
              <w:rPr>
                <w:sz w:val="18"/>
              </w:rPr>
            </w:pPr>
            <w:r>
              <w:rPr>
                <w:sz w:val="18"/>
              </w:rPr>
              <w:t>In several meeting with the Associate Dean of Shelby Campus the topics of concerns were discussed and adjustment</w:t>
            </w:r>
            <w:r w:rsidR="00344881">
              <w:rPr>
                <w:sz w:val="18"/>
              </w:rPr>
              <w:t>s</w:t>
            </w:r>
            <w:r>
              <w:rPr>
                <w:sz w:val="18"/>
              </w:rPr>
              <w:t xml:space="preserve"> were made in the offerings. </w:t>
            </w:r>
            <w:r w:rsidR="00344881">
              <w:rPr>
                <w:sz w:val="18"/>
              </w:rPr>
              <w:t>In addition the executive secretaries work well together when needed.</w:t>
            </w:r>
          </w:p>
        </w:tc>
      </w:tr>
      <w:tr w:rsidR="00207D85" w:rsidTr="00A2660F">
        <w:trPr>
          <w:trHeight w:val="54"/>
        </w:trPr>
        <w:tc>
          <w:tcPr>
            <w:tcW w:w="2445" w:type="dxa"/>
            <w:tcBorders>
              <w:right w:val="single" w:sz="6" w:space="0" w:color="auto"/>
            </w:tcBorders>
          </w:tcPr>
          <w:p w:rsidR="00207D85" w:rsidRPr="007F25C7" w:rsidRDefault="0077664A" w:rsidP="007F25C7">
            <w:pPr>
              <w:pStyle w:val="ListParagraph"/>
              <w:numPr>
                <w:ilvl w:val="0"/>
                <w:numId w:val="5"/>
              </w:numPr>
              <w:rPr>
                <w:sz w:val="18"/>
                <w:szCs w:val="18"/>
              </w:rPr>
            </w:pPr>
            <w:r w:rsidRPr="007F25C7">
              <w:rPr>
                <w:rFonts w:ascii="Times New Roman" w:hAnsi="Times New Roman" w:cs="Times New Roman"/>
                <w:b/>
                <w:bCs/>
                <w:sz w:val="18"/>
                <w:szCs w:val="18"/>
              </w:rPr>
              <w:t>Provide mentoring of new Department Chairs and newly hired faculty within the division.</w:t>
            </w:r>
          </w:p>
        </w:tc>
        <w:tc>
          <w:tcPr>
            <w:tcW w:w="4296" w:type="dxa"/>
            <w:tcBorders>
              <w:left w:val="single" w:sz="6" w:space="0" w:color="auto"/>
              <w:right w:val="single" w:sz="4" w:space="0" w:color="auto"/>
            </w:tcBorders>
          </w:tcPr>
          <w:p w:rsidR="00207D85" w:rsidRPr="0077664A" w:rsidRDefault="0077664A">
            <w:pPr>
              <w:rPr>
                <w:sz w:val="20"/>
                <w:szCs w:val="20"/>
              </w:rPr>
            </w:pPr>
            <w:r w:rsidRPr="0077664A">
              <w:rPr>
                <w:rFonts w:ascii="Times New Roman" w:hAnsi="Times New Roman" w:cs="Times New Roman"/>
                <w:sz w:val="20"/>
                <w:szCs w:val="20"/>
              </w:rPr>
              <w:t>To be certain that all new Department Chairs and newly hired faculty are orientated about their job functions, procedures on handling student situations and how to best facilitate the daily tasks within their departments.</w:t>
            </w:r>
          </w:p>
        </w:tc>
        <w:tc>
          <w:tcPr>
            <w:tcW w:w="4723" w:type="dxa"/>
            <w:tcBorders>
              <w:left w:val="single" w:sz="4" w:space="0" w:color="auto"/>
              <w:right w:val="single" w:sz="6" w:space="0" w:color="auto"/>
            </w:tcBorders>
          </w:tcPr>
          <w:p w:rsidR="0077664A" w:rsidRPr="0077664A" w:rsidRDefault="0077664A" w:rsidP="00344881">
            <w:pPr>
              <w:pStyle w:val="Default"/>
              <w:rPr>
                <w:rFonts w:ascii="Times New Roman" w:hAnsi="Times New Roman" w:cs="Times New Roman"/>
                <w:sz w:val="20"/>
                <w:szCs w:val="20"/>
              </w:rPr>
            </w:pPr>
            <w:r w:rsidRPr="0077664A">
              <w:rPr>
                <w:rFonts w:ascii="Times New Roman" w:hAnsi="Times New Roman" w:cs="Times New Roman"/>
                <w:sz w:val="20"/>
                <w:szCs w:val="20"/>
              </w:rPr>
              <w:t xml:space="preserve">Check to see that Department Chairs initiate requisitions, travel forms, IAP and other documents generated at the department level accurately. Conduct periodic evaluations of the Chairs and have them conduct periodic evaluations of their new faculty. </w:t>
            </w:r>
          </w:p>
          <w:p w:rsidR="00207D85" w:rsidRPr="0077664A" w:rsidRDefault="00207D85">
            <w:pPr>
              <w:rPr>
                <w:sz w:val="20"/>
                <w:szCs w:val="20"/>
              </w:rPr>
            </w:pPr>
          </w:p>
        </w:tc>
        <w:tc>
          <w:tcPr>
            <w:tcW w:w="2288" w:type="dxa"/>
            <w:tcBorders>
              <w:left w:val="single" w:sz="6" w:space="0" w:color="auto"/>
            </w:tcBorders>
          </w:tcPr>
          <w:p w:rsidR="00207D85" w:rsidRPr="00207D85" w:rsidRDefault="00344881">
            <w:pPr>
              <w:rPr>
                <w:sz w:val="18"/>
              </w:rPr>
            </w:pPr>
            <w:r>
              <w:rPr>
                <w:sz w:val="18"/>
              </w:rPr>
              <w:t>In periodic meetings with the Dean of Instruction and other Deans and Associate Deans, the efforts are being made to put together orientation packages for new PT and FT hires. This is work in progress and soon will be implemented.</w:t>
            </w:r>
          </w:p>
        </w:tc>
      </w:tr>
      <w:tr w:rsidR="00207D85" w:rsidTr="00A2660F">
        <w:trPr>
          <w:trHeight w:val="54"/>
        </w:trPr>
        <w:tc>
          <w:tcPr>
            <w:tcW w:w="2445" w:type="dxa"/>
            <w:tcBorders>
              <w:right w:val="single" w:sz="6" w:space="0" w:color="auto"/>
            </w:tcBorders>
          </w:tcPr>
          <w:p w:rsidR="0077664A" w:rsidRPr="0077664A" w:rsidRDefault="0077664A" w:rsidP="007F25C7">
            <w:pPr>
              <w:pStyle w:val="Default"/>
              <w:pageBreakBefore/>
              <w:numPr>
                <w:ilvl w:val="0"/>
                <w:numId w:val="5"/>
              </w:numPr>
              <w:rPr>
                <w:rFonts w:ascii="Times New Roman" w:hAnsi="Times New Roman" w:cs="Times New Roman"/>
                <w:sz w:val="18"/>
                <w:szCs w:val="18"/>
              </w:rPr>
            </w:pPr>
            <w:bookmarkStart w:id="0" w:name="_GoBack"/>
            <w:bookmarkEnd w:id="0"/>
            <w:r w:rsidRPr="0077664A">
              <w:rPr>
                <w:rFonts w:ascii="Times New Roman" w:hAnsi="Times New Roman" w:cs="Times New Roman"/>
                <w:b/>
                <w:bCs/>
                <w:sz w:val="18"/>
                <w:szCs w:val="18"/>
              </w:rPr>
              <w:lastRenderedPageBreak/>
              <w:t xml:space="preserve">Collect and review Strategic Plans, Goal Progress Report, Unit Goal Revisions and other documents throughout the year at the designated time cycle from each area within the division. </w:t>
            </w:r>
          </w:p>
          <w:p w:rsidR="00207D85" w:rsidRPr="00207D85" w:rsidRDefault="00207D85" w:rsidP="0077664A">
            <w:pPr>
              <w:pStyle w:val="Default"/>
              <w:rPr>
                <w:sz w:val="18"/>
              </w:rPr>
            </w:pPr>
          </w:p>
        </w:tc>
        <w:tc>
          <w:tcPr>
            <w:tcW w:w="4296" w:type="dxa"/>
            <w:tcBorders>
              <w:left w:val="single" w:sz="6" w:space="0" w:color="auto"/>
              <w:right w:val="single" w:sz="4" w:space="0" w:color="auto"/>
            </w:tcBorders>
          </w:tcPr>
          <w:p w:rsidR="00207D85" w:rsidRPr="0077664A" w:rsidRDefault="0077664A">
            <w:pPr>
              <w:autoSpaceDE w:val="0"/>
              <w:autoSpaceDN w:val="0"/>
              <w:adjustRightInd w:val="0"/>
              <w:rPr>
                <w:sz w:val="20"/>
                <w:szCs w:val="20"/>
              </w:rPr>
            </w:pPr>
            <w:r w:rsidRPr="0077664A">
              <w:rPr>
                <w:rFonts w:ascii="Times New Roman" w:hAnsi="Times New Roman" w:cs="Times New Roman"/>
                <w:sz w:val="20"/>
                <w:szCs w:val="20"/>
              </w:rPr>
              <w:t>Making sure that all areas in Transfer General Studies, Jefferson campus have correct and complete documentation for their required reports.</w:t>
            </w:r>
          </w:p>
        </w:tc>
        <w:tc>
          <w:tcPr>
            <w:tcW w:w="4723" w:type="dxa"/>
            <w:tcBorders>
              <w:left w:val="single" w:sz="4" w:space="0" w:color="auto"/>
              <w:right w:val="single" w:sz="6" w:space="0" w:color="auto"/>
            </w:tcBorders>
          </w:tcPr>
          <w:p w:rsidR="0077664A" w:rsidRPr="0077664A" w:rsidRDefault="0077664A" w:rsidP="0077664A">
            <w:pPr>
              <w:pStyle w:val="Default"/>
              <w:rPr>
                <w:rFonts w:ascii="Times New Roman" w:hAnsi="Times New Roman" w:cs="Times New Roman"/>
                <w:sz w:val="20"/>
                <w:szCs w:val="20"/>
              </w:rPr>
            </w:pPr>
            <w:r w:rsidRPr="0077664A">
              <w:rPr>
                <w:rFonts w:ascii="Times New Roman" w:hAnsi="Times New Roman" w:cs="Times New Roman"/>
                <w:sz w:val="20"/>
                <w:szCs w:val="20"/>
              </w:rPr>
              <w:t xml:space="preserve">Individual meeting with each Department Chairs periodically to discuss their data and how they are reporting their area’s findings. </w:t>
            </w:r>
          </w:p>
          <w:p w:rsidR="00207D85" w:rsidRPr="0077664A" w:rsidRDefault="00207D85">
            <w:pPr>
              <w:rPr>
                <w:sz w:val="20"/>
                <w:szCs w:val="20"/>
              </w:rPr>
            </w:pPr>
          </w:p>
        </w:tc>
        <w:tc>
          <w:tcPr>
            <w:tcW w:w="2288" w:type="dxa"/>
            <w:tcBorders>
              <w:left w:val="single" w:sz="6" w:space="0" w:color="auto"/>
            </w:tcBorders>
          </w:tcPr>
          <w:p w:rsidR="00207D85" w:rsidRPr="00207D85" w:rsidRDefault="00344881" w:rsidP="00344881">
            <w:pPr>
              <w:rPr>
                <w:sz w:val="18"/>
              </w:rPr>
            </w:pPr>
            <w:r>
              <w:rPr>
                <w:sz w:val="18"/>
              </w:rPr>
              <w:t>It is essential to get the reports from the departments in order to put together the report of Transfer/General Studies. Most of the communications and data collections are being done electronically.</w:t>
            </w:r>
          </w:p>
        </w:tc>
      </w:tr>
      <w:tr w:rsidR="00B170A9" w:rsidTr="00A2660F">
        <w:tc>
          <w:tcPr>
            <w:tcW w:w="6741" w:type="dxa"/>
            <w:gridSpan w:val="2"/>
            <w:tcBorders>
              <w:right w:val="single" w:sz="4" w:space="0" w:color="auto"/>
            </w:tcBorders>
          </w:tcPr>
          <w:p w:rsidR="00B170A9" w:rsidRPr="002A44E2" w:rsidRDefault="00B170A9" w:rsidP="00585479">
            <w:pPr>
              <w:rPr>
                <w:sz w:val="12"/>
                <w:szCs w:val="12"/>
              </w:rPr>
            </w:pPr>
          </w:p>
          <w:p w:rsidR="00B170A9" w:rsidRPr="002A44E2" w:rsidRDefault="00B170A9" w:rsidP="00585479">
            <w:pPr>
              <w:rPr>
                <w:b/>
                <w:sz w:val="12"/>
                <w:szCs w:val="12"/>
              </w:rPr>
            </w:pPr>
          </w:p>
          <w:p w:rsidR="00B170A9" w:rsidRDefault="00B170A9" w:rsidP="0077664A">
            <w:r>
              <w:rPr>
                <w:b/>
              </w:rPr>
              <w:t>S</w:t>
            </w:r>
            <w:r w:rsidRPr="00D554AC">
              <w:rPr>
                <w:b/>
              </w:rPr>
              <w:t>ubmission date:</w:t>
            </w:r>
            <w:r w:rsidR="00A2660F">
              <w:rPr>
                <w:b/>
              </w:rPr>
              <w:t xml:space="preserve"> </w:t>
            </w:r>
            <w:r w:rsidR="0077664A">
              <w:rPr>
                <w:b/>
              </w:rPr>
              <w:t>6/30/2016</w:t>
            </w:r>
          </w:p>
        </w:tc>
        <w:tc>
          <w:tcPr>
            <w:tcW w:w="7011" w:type="dxa"/>
            <w:gridSpan w:val="2"/>
            <w:tcBorders>
              <w:left w:val="single" w:sz="4" w:space="0" w:color="auto"/>
            </w:tcBorders>
          </w:tcPr>
          <w:p w:rsidR="00B170A9" w:rsidRPr="00490115" w:rsidRDefault="00B170A9" w:rsidP="00585479">
            <w:pPr>
              <w:rPr>
                <w:sz w:val="12"/>
                <w:szCs w:val="12"/>
              </w:rPr>
            </w:pPr>
          </w:p>
          <w:p w:rsidR="00B170A9" w:rsidRPr="00490115" w:rsidRDefault="00B170A9" w:rsidP="00585479">
            <w:pPr>
              <w:rPr>
                <w:sz w:val="12"/>
                <w:szCs w:val="12"/>
              </w:rPr>
            </w:pPr>
          </w:p>
          <w:p w:rsidR="00B170A9" w:rsidRDefault="00B170A9" w:rsidP="00585479">
            <w:pPr>
              <w:rPr>
                <w:b/>
              </w:rPr>
            </w:pPr>
            <w:r w:rsidRPr="00102B7D">
              <w:rPr>
                <w:b/>
              </w:rPr>
              <w:t>Submitted by:</w:t>
            </w:r>
            <w:r w:rsidR="00E43010">
              <w:rPr>
                <w:b/>
              </w:rPr>
              <w:t xml:space="preserve"> Ali Yazdi</w:t>
            </w:r>
          </w:p>
          <w:p w:rsidR="00B170A9" w:rsidRPr="002A44E2" w:rsidRDefault="00B170A9" w:rsidP="00585479">
            <w:pPr>
              <w:rPr>
                <w:b/>
                <w:sz w:val="8"/>
                <w:szCs w:val="8"/>
              </w:rPr>
            </w:pPr>
          </w:p>
        </w:tc>
      </w:tr>
    </w:tbl>
    <w:p w:rsidR="00B170A9" w:rsidRDefault="00B170A9" w:rsidP="00B170A9"/>
    <w:sectPr w:rsidR="00B170A9"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38" w:rsidRDefault="00793938">
      <w:pPr>
        <w:spacing w:after="0" w:line="240" w:lineRule="auto"/>
      </w:pPr>
      <w:r>
        <w:separator/>
      </w:r>
    </w:p>
  </w:endnote>
  <w:endnote w:type="continuationSeparator" w:id="0">
    <w:p w:rsidR="00793938" w:rsidRDefault="0079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32" w:rsidRDefault="00B170A9" w:rsidP="00A77932">
    <w:pPr>
      <w:pStyle w:val="Footer"/>
      <w:jc w:val="right"/>
    </w:pPr>
    <w:r>
      <w:t>June 2012</w:t>
    </w:r>
  </w:p>
  <w:p w:rsidR="00A77932" w:rsidRDefault="00793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38" w:rsidRDefault="00793938">
      <w:pPr>
        <w:spacing w:after="0" w:line="240" w:lineRule="auto"/>
      </w:pPr>
      <w:r>
        <w:separator/>
      </w:r>
    </w:p>
  </w:footnote>
  <w:footnote w:type="continuationSeparator" w:id="0">
    <w:p w:rsidR="00793938" w:rsidRDefault="00793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ED2"/>
    <w:multiLevelType w:val="hybridMultilevel"/>
    <w:tmpl w:val="08FAE26C"/>
    <w:lvl w:ilvl="0" w:tplc="F34C6E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E12ACD"/>
    <w:multiLevelType w:val="hybridMultilevel"/>
    <w:tmpl w:val="8D9AAE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7B550C"/>
    <w:multiLevelType w:val="hybridMultilevel"/>
    <w:tmpl w:val="6D54A308"/>
    <w:lvl w:ilvl="0" w:tplc="73B0A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905717"/>
    <w:multiLevelType w:val="hybridMultilevel"/>
    <w:tmpl w:val="63BC9EFA"/>
    <w:lvl w:ilvl="0" w:tplc="806047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D24071"/>
    <w:multiLevelType w:val="hybridMultilevel"/>
    <w:tmpl w:val="A8703F92"/>
    <w:lvl w:ilvl="0" w:tplc="B3D45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9"/>
    <w:rsid w:val="00077D12"/>
    <w:rsid w:val="00186CD7"/>
    <w:rsid w:val="00207D85"/>
    <w:rsid w:val="00291CA5"/>
    <w:rsid w:val="002F4C83"/>
    <w:rsid w:val="00344881"/>
    <w:rsid w:val="00345A51"/>
    <w:rsid w:val="003662DA"/>
    <w:rsid w:val="004310BF"/>
    <w:rsid w:val="005013F9"/>
    <w:rsid w:val="005F7090"/>
    <w:rsid w:val="0077664A"/>
    <w:rsid w:val="00793938"/>
    <w:rsid w:val="007F25C7"/>
    <w:rsid w:val="008563B8"/>
    <w:rsid w:val="009C0F5C"/>
    <w:rsid w:val="009C6261"/>
    <w:rsid w:val="009D5B15"/>
    <w:rsid w:val="00A2660F"/>
    <w:rsid w:val="00B170A9"/>
    <w:rsid w:val="00B23262"/>
    <w:rsid w:val="00B449D2"/>
    <w:rsid w:val="00B7184F"/>
    <w:rsid w:val="00C40ACB"/>
    <w:rsid w:val="00D64DE7"/>
    <w:rsid w:val="00D70BF3"/>
    <w:rsid w:val="00DC7AFE"/>
    <w:rsid w:val="00E23913"/>
    <w:rsid w:val="00E43010"/>
    <w:rsid w:val="00E6618D"/>
    <w:rsid w:val="00EC0658"/>
    <w:rsid w:val="00FA4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0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A9"/>
    <w:rPr>
      <w:rFonts w:eastAsiaTheme="minorEastAsia"/>
    </w:rPr>
  </w:style>
  <w:style w:type="paragraph" w:styleId="BalloonText">
    <w:name w:val="Balloon Text"/>
    <w:basedOn w:val="Normal"/>
    <w:link w:val="BalloonTextChar"/>
    <w:uiPriority w:val="99"/>
    <w:semiHidden/>
    <w:unhideWhenUsed/>
    <w:rsid w:val="00B17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A9"/>
    <w:rPr>
      <w:rFonts w:ascii="Tahoma" w:eastAsiaTheme="minorEastAsia" w:hAnsi="Tahoma" w:cs="Tahoma"/>
      <w:sz w:val="16"/>
      <w:szCs w:val="16"/>
    </w:rPr>
  </w:style>
  <w:style w:type="paragraph" w:styleId="ListParagraph">
    <w:name w:val="List Paragraph"/>
    <w:basedOn w:val="Normal"/>
    <w:uiPriority w:val="34"/>
    <w:qFormat/>
    <w:rsid w:val="00B23262"/>
    <w:pPr>
      <w:ind w:left="720"/>
      <w:contextualSpacing/>
    </w:pPr>
    <w:rPr>
      <w:rFonts w:eastAsiaTheme="minorHAnsi"/>
    </w:rPr>
  </w:style>
  <w:style w:type="paragraph" w:customStyle="1" w:styleId="Default">
    <w:name w:val="Default"/>
    <w:rsid w:val="0077664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0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A9"/>
    <w:rPr>
      <w:rFonts w:eastAsiaTheme="minorEastAsia"/>
    </w:rPr>
  </w:style>
  <w:style w:type="paragraph" w:styleId="BalloonText">
    <w:name w:val="Balloon Text"/>
    <w:basedOn w:val="Normal"/>
    <w:link w:val="BalloonTextChar"/>
    <w:uiPriority w:val="99"/>
    <w:semiHidden/>
    <w:unhideWhenUsed/>
    <w:rsid w:val="00B17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A9"/>
    <w:rPr>
      <w:rFonts w:ascii="Tahoma" w:eastAsiaTheme="minorEastAsia" w:hAnsi="Tahoma" w:cs="Tahoma"/>
      <w:sz w:val="16"/>
      <w:szCs w:val="16"/>
    </w:rPr>
  </w:style>
  <w:style w:type="paragraph" w:styleId="ListParagraph">
    <w:name w:val="List Paragraph"/>
    <w:basedOn w:val="Normal"/>
    <w:uiPriority w:val="34"/>
    <w:qFormat/>
    <w:rsid w:val="00B23262"/>
    <w:pPr>
      <w:ind w:left="720"/>
      <w:contextualSpacing/>
    </w:pPr>
    <w:rPr>
      <w:rFonts w:eastAsiaTheme="minorHAnsi"/>
    </w:rPr>
  </w:style>
  <w:style w:type="paragraph" w:customStyle="1" w:styleId="Default">
    <w:name w:val="Default"/>
    <w:rsid w:val="007766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Ali Yazdi</cp:lastModifiedBy>
  <cp:revision>3</cp:revision>
  <dcterms:created xsi:type="dcterms:W3CDTF">2016-06-30T13:49:00Z</dcterms:created>
  <dcterms:modified xsi:type="dcterms:W3CDTF">2016-06-30T14:39:00Z</dcterms:modified>
</cp:coreProperties>
</file>