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5B4D5BA2" w14:textId="77777777" w:rsidTr="00F26A57">
        <w:trPr>
          <w:gridAfter w:val="1"/>
          <w:wAfter w:w="13" w:type="dxa"/>
        </w:trPr>
        <w:tc>
          <w:tcPr>
            <w:tcW w:w="6588" w:type="dxa"/>
            <w:gridSpan w:val="3"/>
          </w:tcPr>
          <w:p w14:paraId="4B207992" w14:textId="77777777" w:rsidR="00F26A57" w:rsidRPr="00B81C69" w:rsidRDefault="00F26A57" w:rsidP="007B0814">
            <w:pPr>
              <w:rPr>
                <w:b/>
                <w:sz w:val="24"/>
                <w:szCs w:val="24"/>
              </w:rPr>
            </w:pPr>
            <w:r>
              <w:rPr>
                <w:noProof/>
              </w:rPr>
              <w:drawing>
                <wp:inline distT="0" distB="0" distL="0" distR="0" wp14:anchorId="33A5C20C" wp14:editId="79121688">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37E4B054"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47D910AE" w14:textId="77777777" w:rsidTr="00F26A57">
        <w:tc>
          <w:tcPr>
            <w:tcW w:w="1291" w:type="dxa"/>
          </w:tcPr>
          <w:p w14:paraId="41C13CE1" w14:textId="77777777" w:rsidR="00F26A57" w:rsidRDefault="00F26A57" w:rsidP="007B0814">
            <w:pPr>
              <w:rPr>
                <w:b/>
                <w:sz w:val="28"/>
                <w:szCs w:val="28"/>
              </w:rPr>
            </w:pPr>
          </w:p>
          <w:p w14:paraId="2D495436" w14:textId="77777777" w:rsidR="00F26A57" w:rsidRDefault="00F26A57" w:rsidP="007B0814">
            <w:pPr>
              <w:rPr>
                <w:b/>
                <w:sz w:val="28"/>
                <w:szCs w:val="28"/>
              </w:rPr>
            </w:pPr>
          </w:p>
          <w:p w14:paraId="7130789A" w14:textId="77777777"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14:paraId="6B8F95BE" w14:textId="77777777" w:rsidR="006324AB" w:rsidRDefault="006324AB" w:rsidP="007B0814">
            <w:pPr>
              <w:rPr>
                <w:b/>
                <w:sz w:val="24"/>
                <w:szCs w:val="24"/>
              </w:rPr>
            </w:pPr>
          </w:p>
          <w:p w14:paraId="7E708624" w14:textId="77777777" w:rsidR="006324AB" w:rsidRDefault="006324AB" w:rsidP="007B0814">
            <w:pPr>
              <w:rPr>
                <w:b/>
                <w:sz w:val="24"/>
                <w:szCs w:val="24"/>
              </w:rPr>
            </w:pPr>
          </w:p>
          <w:p w14:paraId="3DD7177A" w14:textId="77777777" w:rsidR="00F26A57" w:rsidRPr="00B81C69" w:rsidRDefault="001C6D5E" w:rsidP="007B0814">
            <w:pPr>
              <w:rPr>
                <w:b/>
                <w:sz w:val="24"/>
                <w:szCs w:val="24"/>
              </w:rPr>
            </w:pPr>
            <w:r>
              <w:rPr>
                <w:b/>
                <w:sz w:val="24"/>
                <w:szCs w:val="24"/>
              </w:rPr>
              <w:t>Medical Laboratory Technology</w:t>
            </w:r>
          </w:p>
        </w:tc>
        <w:tc>
          <w:tcPr>
            <w:tcW w:w="2610" w:type="dxa"/>
            <w:gridSpan w:val="2"/>
          </w:tcPr>
          <w:p w14:paraId="7FAC7BA8" w14:textId="77777777" w:rsidR="00F26A57" w:rsidRDefault="00F26A57" w:rsidP="007B0814">
            <w:pPr>
              <w:rPr>
                <w:b/>
                <w:sz w:val="24"/>
                <w:szCs w:val="24"/>
              </w:rPr>
            </w:pPr>
            <w:r>
              <w:rPr>
                <w:b/>
                <w:sz w:val="24"/>
                <w:szCs w:val="24"/>
              </w:rPr>
              <w:t xml:space="preserve">  </w:t>
            </w:r>
          </w:p>
          <w:p w14:paraId="1710E228" w14:textId="77777777" w:rsidR="00F26A57" w:rsidRDefault="00F26A57" w:rsidP="007B0814">
            <w:pPr>
              <w:rPr>
                <w:b/>
                <w:sz w:val="28"/>
                <w:szCs w:val="28"/>
              </w:rPr>
            </w:pPr>
          </w:p>
          <w:p w14:paraId="7DC0D166"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692E3116" w14:textId="77777777" w:rsidR="006324AB" w:rsidRDefault="006324AB" w:rsidP="007B0814">
            <w:pPr>
              <w:rPr>
                <w:b/>
                <w:sz w:val="24"/>
                <w:szCs w:val="24"/>
              </w:rPr>
            </w:pPr>
          </w:p>
          <w:p w14:paraId="2C1DFCB9" w14:textId="77777777" w:rsidR="006324AB" w:rsidRDefault="006324AB" w:rsidP="007B0814">
            <w:pPr>
              <w:rPr>
                <w:b/>
                <w:sz w:val="24"/>
                <w:szCs w:val="24"/>
              </w:rPr>
            </w:pPr>
          </w:p>
          <w:p w14:paraId="157515FC" w14:textId="30124607" w:rsidR="00F26A57" w:rsidRPr="00B81C69" w:rsidRDefault="006324AB" w:rsidP="007B0814">
            <w:pPr>
              <w:rPr>
                <w:b/>
                <w:sz w:val="24"/>
                <w:szCs w:val="24"/>
              </w:rPr>
            </w:pPr>
            <w:r>
              <w:rPr>
                <w:b/>
                <w:sz w:val="24"/>
                <w:szCs w:val="24"/>
              </w:rPr>
              <w:t>20</w:t>
            </w:r>
            <w:r w:rsidR="00931BFA">
              <w:rPr>
                <w:b/>
                <w:sz w:val="24"/>
                <w:szCs w:val="24"/>
              </w:rPr>
              <w:t>20-2021</w:t>
            </w:r>
          </w:p>
        </w:tc>
      </w:tr>
    </w:tbl>
    <w:p w14:paraId="6D61BC86"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35"/>
        <w:gridCol w:w="3261"/>
        <w:gridCol w:w="3205"/>
        <w:gridCol w:w="3243"/>
      </w:tblGrid>
      <w:tr w:rsidR="00F26A57" w:rsidRPr="00D554AC" w14:paraId="29EAAFEC" w14:textId="77777777" w:rsidTr="00E312BD">
        <w:tc>
          <w:tcPr>
            <w:tcW w:w="12944" w:type="dxa"/>
            <w:gridSpan w:val="4"/>
            <w:tcBorders>
              <w:bottom w:val="single" w:sz="6" w:space="0" w:color="auto"/>
            </w:tcBorders>
            <w:shd w:val="clear" w:color="auto" w:fill="D9D9D9" w:themeFill="background1" w:themeFillShade="D9"/>
          </w:tcPr>
          <w:p w14:paraId="598A4E4C" w14:textId="77777777" w:rsidR="00F26A57" w:rsidRPr="00D554AC" w:rsidRDefault="00F26A57" w:rsidP="007B0814">
            <w:pPr>
              <w:jc w:val="center"/>
              <w:rPr>
                <w:b/>
                <w:sz w:val="32"/>
                <w:szCs w:val="32"/>
              </w:rPr>
            </w:pPr>
          </w:p>
        </w:tc>
      </w:tr>
      <w:tr w:rsidR="00F26A57" w:rsidRPr="00D554AC" w14:paraId="3D737D15" w14:textId="77777777" w:rsidTr="00E312BD">
        <w:trPr>
          <w:trHeight w:val="54"/>
        </w:trPr>
        <w:tc>
          <w:tcPr>
            <w:tcW w:w="3235" w:type="dxa"/>
            <w:tcBorders>
              <w:left w:val="single" w:sz="6" w:space="0" w:color="auto"/>
              <w:bottom w:val="double" w:sz="4" w:space="0" w:color="auto"/>
              <w:right w:val="single" w:sz="6" w:space="0" w:color="auto"/>
            </w:tcBorders>
          </w:tcPr>
          <w:p w14:paraId="2B6BC34F" w14:textId="77777777" w:rsidR="00F26A57" w:rsidRPr="00490115" w:rsidRDefault="00F26A57" w:rsidP="007B0814">
            <w:pPr>
              <w:jc w:val="center"/>
              <w:rPr>
                <w:b/>
                <w:sz w:val="16"/>
                <w:szCs w:val="16"/>
              </w:rPr>
            </w:pPr>
          </w:p>
          <w:p w14:paraId="6030679E" w14:textId="77777777" w:rsidR="00F26A57" w:rsidRPr="00D554AC" w:rsidRDefault="00F26A57" w:rsidP="007B0814">
            <w:pPr>
              <w:jc w:val="center"/>
              <w:rPr>
                <w:b/>
                <w:sz w:val="24"/>
                <w:szCs w:val="24"/>
              </w:rPr>
            </w:pPr>
            <w:r>
              <w:rPr>
                <w:b/>
                <w:sz w:val="24"/>
                <w:szCs w:val="24"/>
              </w:rPr>
              <w:t>Goals</w:t>
            </w:r>
          </w:p>
        </w:tc>
        <w:tc>
          <w:tcPr>
            <w:tcW w:w="3261" w:type="dxa"/>
            <w:tcBorders>
              <w:left w:val="single" w:sz="6" w:space="0" w:color="auto"/>
              <w:bottom w:val="thinThickSmallGap" w:sz="12" w:space="0" w:color="auto"/>
              <w:right w:val="single" w:sz="4" w:space="0" w:color="auto"/>
            </w:tcBorders>
          </w:tcPr>
          <w:p w14:paraId="3C0401E6" w14:textId="77777777" w:rsidR="00F26A57" w:rsidRPr="00D554AC" w:rsidRDefault="00F26A57" w:rsidP="007B0814">
            <w:pPr>
              <w:jc w:val="center"/>
              <w:rPr>
                <w:b/>
                <w:sz w:val="24"/>
                <w:szCs w:val="24"/>
              </w:rPr>
            </w:pPr>
            <w:r>
              <w:rPr>
                <w:b/>
                <w:sz w:val="24"/>
                <w:szCs w:val="24"/>
              </w:rPr>
              <w:t>Request &amp; Justification/Resources</w:t>
            </w:r>
          </w:p>
        </w:tc>
        <w:tc>
          <w:tcPr>
            <w:tcW w:w="3205" w:type="dxa"/>
            <w:tcBorders>
              <w:left w:val="single" w:sz="4" w:space="0" w:color="auto"/>
              <w:bottom w:val="thinThickSmallGap" w:sz="12" w:space="0" w:color="auto"/>
              <w:right w:val="single" w:sz="6" w:space="0" w:color="auto"/>
            </w:tcBorders>
          </w:tcPr>
          <w:p w14:paraId="00C9A4CF" w14:textId="77777777" w:rsidR="00F26A57" w:rsidRPr="00490115" w:rsidRDefault="00F26A57" w:rsidP="007B0814">
            <w:pPr>
              <w:jc w:val="center"/>
              <w:rPr>
                <w:b/>
                <w:sz w:val="16"/>
                <w:szCs w:val="16"/>
              </w:rPr>
            </w:pPr>
          </w:p>
          <w:p w14:paraId="52C43AEB" w14:textId="77777777" w:rsidR="00F26A57" w:rsidRPr="00D554AC" w:rsidRDefault="00F26A57" w:rsidP="007B0814">
            <w:pPr>
              <w:jc w:val="center"/>
              <w:rPr>
                <w:b/>
                <w:sz w:val="24"/>
                <w:szCs w:val="24"/>
              </w:rPr>
            </w:pPr>
            <w:r>
              <w:rPr>
                <w:b/>
                <w:sz w:val="24"/>
                <w:szCs w:val="24"/>
              </w:rPr>
              <w:t>Goal Progress</w:t>
            </w:r>
          </w:p>
        </w:tc>
        <w:tc>
          <w:tcPr>
            <w:tcW w:w="3243" w:type="dxa"/>
            <w:tcBorders>
              <w:left w:val="single" w:sz="6" w:space="0" w:color="auto"/>
              <w:bottom w:val="thinThickSmallGap" w:sz="12" w:space="0" w:color="auto"/>
            </w:tcBorders>
          </w:tcPr>
          <w:p w14:paraId="4D15192C" w14:textId="77777777" w:rsidR="00F26A57" w:rsidRPr="00D554AC" w:rsidRDefault="00F26A57" w:rsidP="007B0814">
            <w:pPr>
              <w:jc w:val="center"/>
              <w:rPr>
                <w:b/>
                <w:sz w:val="24"/>
                <w:szCs w:val="24"/>
              </w:rPr>
            </w:pPr>
            <w:r>
              <w:rPr>
                <w:b/>
                <w:sz w:val="24"/>
                <w:szCs w:val="24"/>
              </w:rPr>
              <w:t>Strategies Implemented &amp; Follow-up</w:t>
            </w:r>
          </w:p>
        </w:tc>
      </w:tr>
      <w:tr w:rsidR="008611BD" w14:paraId="34D4454D" w14:textId="77777777" w:rsidTr="00E312BD">
        <w:trPr>
          <w:trHeight w:val="54"/>
        </w:trPr>
        <w:tc>
          <w:tcPr>
            <w:tcW w:w="3235" w:type="dxa"/>
          </w:tcPr>
          <w:p w14:paraId="2EB8C49E" w14:textId="77777777" w:rsidR="00C643DE" w:rsidRPr="00FE6797" w:rsidRDefault="00C643DE" w:rsidP="00C643DE">
            <w:r>
              <w:t>Provide necessary equipment and reagents to teach entry level skills keeping abreast with new technology.</w:t>
            </w:r>
          </w:p>
          <w:p w14:paraId="015BB745" w14:textId="77777777" w:rsidR="00C643DE" w:rsidRPr="005F2E8E" w:rsidRDefault="00C643DE" w:rsidP="00C643DE">
            <w:pPr>
              <w:rPr>
                <w:b/>
              </w:rPr>
            </w:pPr>
            <w:r w:rsidRPr="005F2E8E">
              <w:rPr>
                <w:b/>
              </w:rPr>
              <w:t>Program Outcome</w:t>
            </w:r>
          </w:p>
          <w:p w14:paraId="36928BB0" w14:textId="77777777" w:rsidR="00C643DE" w:rsidRDefault="00C643DE" w:rsidP="00C643DE">
            <w:r>
              <w:t>#1. 70% of students admitted to the MLT program will complete as technically competent individuals ready to enter the laboratory workforce</w:t>
            </w:r>
          </w:p>
          <w:p w14:paraId="3A2C7631" w14:textId="77777777" w:rsidR="008611BD" w:rsidRDefault="008611BD" w:rsidP="008611BD"/>
          <w:p w14:paraId="78C26F87" w14:textId="77777777" w:rsidR="00C643DE" w:rsidRDefault="00C643DE" w:rsidP="008611BD"/>
          <w:p w14:paraId="0EA44562" w14:textId="77777777" w:rsidR="00C643DE" w:rsidRDefault="00C643DE" w:rsidP="008611BD"/>
          <w:p w14:paraId="47913E90" w14:textId="77777777" w:rsidR="00C643DE" w:rsidRDefault="00C643DE" w:rsidP="008611BD"/>
          <w:p w14:paraId="430B5312" w14:textId="77777777" w:rsidR="00C643DE" w:rsidRDefault="00C643DE" w:rsidP="008611BD"/>
          <w:p w14:paraId="2A475256" w14:textId="77777777" w:rsidR="00C643DE" w:rsidRDefault="00C643DE" w:rsidP="008611BD"/>
          <w:p w14:paraId="12926F24" w14:textId="247EA9DD" w:rsidR="00C643DE" w:rsidRPr="004C37B5" w:rsidRDefault="00C643DE" w:rsidP="008611BD"/>
        </w:tc>
        <w:tc>
          <w:tcPr>
            <w:tcW w:w="3261" w:type="dxa"/>
          </w:tcPr>
          <w:p w14:paraId="35EB080A" w14:textId="77777777" w:rsidR="00C643DE" w:rsidRDefault="00C643DE" w:rsidP="00C643DE">
            <w:r>
              <w:t xml:space="preserve">1. Purchase the necessary equipment and supplies to provide high quality campus laboratory experiences. </w:t>
            </w:r>
          </w:p>
          <w:p w14:paraId="6AD5B2D9" w14:textId="41CE0BD1" w:rsidR="008611BD" w:rsidRDefault="00C643DE" w:rsidP="00C643DE">
            <w:r w:rsidRPr="005A01F0">
              <w:t xml:space="preserve">2. </w:t>
            </w:r>
            <w:r>
              <w:t xml:space="preserve">Maintain </w:t>
            </w:r>
            <w:r w:rsidR="00166A43">
              <w:t xml:space="preserve">MLT </w:t>
            </w:r>
            <w:r>
              <w:t>e</w:t>
            </w:r>
            <w:r w:rsidRPr="005A01F0">
              <w:t xml:space="preserve">quipment </w:t>
            </w:r>
          </w:p>
          <w:p w14:paraId="16BE69C2" w14:textId="0B6FAB24" w:rsidR="0037246F" w:rsidRPr="004C37B5" w:rsidRDefault="0037246F" w:rsidP="00C643DE"/>
        </w:tc>
        <w:tc>
          <w:tcPr>
            <w:tcW w:w="3205" w:type="dxa"/>
          </w:tcPr>
          <w:p w14:paraId="21EBFB5D" w14:textId="0D440D3A" w:rsidR="00662CDC" w:rsidRDefault="00662CDC" w:rsidP="00662CDC">
            <w:pPr>
              <w:ind w:left="-108"/>
            </w:pPr>
            <w:r>
              <w:t xml:space="preserve">This goal was </w:t>
            </w:r>
            <w:r w:rsidR="007A3107">
              <w:t xml:space="preserve">partially </w:t>
            </w:r>
            <w:r>
              <w:t>completed.</w:t>
            </w:r>
          </w:p>
          <w:p w14:paraId="7516E7FD" w14:textId="77777777" w:rsidR="00D14F1B" w:rsidRDefault="00D14F1B" w:rsidP="00662CDC">
            <w:pPr>
              <w:ind w:left="-108"/>
            </w:pPr>
          </w:p>
          <w:p w14:paraId="0ACEC083" w14:textId="77777777" w:rsidR="00662CDC" w:rsidRDefault="00662CDC" w:rsidP="00662CDC">
            <w:pPr>
              <w:ind w:left="-108"/>
            </w:pPr>
            <w:r>
              <w:t>We were granted approval to purchase all expendable supplies needed for instruction this year.</w:t>
            </w:r>
          </w:p>
          <w:p w14:paraId="38BC0EC6" w14:textId="1B417BAE" w:rsidR="00662CDC" w:rsidRDefault="00662CDC" w:rsidP="00662CDC">
            <w:pPr>
              <w:ind w:left="-108"/>
            </w:pPr>
            <w:r>
              <w:t>Funding.</w:t>
            </w:r>
          </w:p>
          <w:p w14:paraId="3A32935C" w14:textId="77777777" w:rsidR="00BF5F96" w:rsidRDefault="00BF5F96" w:rsidP="00662CDC">
            <w:pPr>
              <w:ind w:left="-108"/>
            </w:pPr>
          </w:p>
          <w:p w14:paraId="7BBCF64A" w14:textId="77777777" w:rsidR="00BF5F96" w:rsidRDefault="00BF5F96" w:rsidP="00BF5F96">
            <w:pPr>
              <w:ind w:left="-108"/>
            </w:pPr>
            <w:r>
              <w:t xml:space="preserve">Emergency repair on </w:t>
            </w:r>
            <w:proofErr w:type="gramStart"/>
            <w:r>
              <w:t>both of the Horiba</w:t>
            </w:r>
            <w:proofErr w:type="gramEnd"/>
            <w:r>
              <w:t xml:space="preserve"> cell counting analyzers was approved</w:t>
            </w:r>
          </w:p>
          <w:p w14:paraId="30374DB4" w14:textId="77777777" w:rsidR="007A3107" w:rsidRDefault="007A3107" w:rsidP="00662CDC">
            <w:pPr>
              <w:ind w:left="-108"/>
            </w:pPr>
          </w:p>
          <w:p w14:paraId="77EC0ADE" w14:textId="6AD4EB05" w:rsidR="007A3107" w:rsidRDefault="007A3107" w:rsidP="00662CDC">
            <w:pPr>
              <w:ind w:left="-108"/>
            </w:pPr>
            <w:r>
              <w:t>Due to Covid and limited student access to laboratory experiences on campus we have pushed the microscope cleaning and the purchase of the 50Xobjective lenses for the Microscopes to the 2021-22 Strategic plan</w:t>
            </w:r>
          </w:p>
          <w:p w14:paraId="0549167B" w14:textId="5FF0234E" w:rsidR="00BF5F96" w:rsidRDefault="00BF5F96" w:rsidP="00662CDC">
            <w:pPr>
              <w:ind w:left="-108"/>
            </w:pPr>
          </w:p>
          <w:p w14:paraId="218F89B7" w14:textId="77777777" w:rsidR="00D14F1B" w:rsidRDefault="00D14F1B" w:rsidP="00364FC7">
            <w:pPr>
              <w:ind w:left="-108"/>
            </w:pPr>
          </w:p>
          <w:p w14:paraId="3434AD95" w14:textId="402522BD" w:rsidR="00662CDC" w:rsidRPr="004C37B5" w:rsidRDefault="00662CDC" w:rsidP="00166A43">
            <w:pPr>
              <w:ind w:left="-108"/>
            </w:pPr>
          </w:p>
        </w:tc>
        <w:tc>
          <w:tcPr>
            <w:tcW w:w="3243" w:type="dxa"/>
            <w:tcBorders>
              <w:top w:val="thinThickSmallGap" w:sz="12" w:space="0" w:color="auto"/>
              <w:left w:val="single" w:sz="6" w:space="0" w:color="auto"/>
            </w:tcBorders>
          </w:tcPr>
          <w:p w14:paraId="65BA22FA" w14:textId="1F96CD63" w:rsidR="007A3107" w:rsidRDefault="00E51C83" w:rsidP="00E312BD">
            <w:pPr>
              <w:ind w:left="-108"/>
            </w:pPr>
            <w:r>
              <w:t xml:space="preserve">1. </w:t>
            </w:r>
            <w:r w:rsidR="00B74B27">
              <w:t xml:space="preserve">Our general budget for expendable supplies continues to serve the departments needs without any increase or decrease to budgeted amounts. </w:t>
            </w:r>
          </w:p>
          <w:p w14:paraId="1B91B0C4" w14:textId="77777777" w:rsidR="00BF5F96" w:rsidRDefault="00BF5F96" w:rsidP="00E312BD">
            <w:pPr>
              <w:ind w:left="-108"/>
            </w:pPr>
          </w:p>
          <w:p w14:paraId="628CDC71" w14:textId="52864F89" w:rsidR="00BF5F96" w:rsidRDefault="00E51C83" w:rsidP="00E312BD">
            <w:pPr>
              <w:ind w:left="-108"/>
            </w:pPr>
            <w:r>
              <w:t xml:space="preserve">2. </w:t>
            </w:r>
            <w:r w:rsidR="00BF5F96">
              <w:t xml:space="preserve">PO’s have been generated for the emergency repair of the Horiba cell counting analyzers. </w:t>
            </w:r>
          </w:p>
          <w:p w14:paraId="06E06D92" w14:textId="77777777" w:rsidR="00BF5F96" w:rsidRDefault="00BF5F96" w:rsidP="00E312BD">
            <w:pPr>
              <w:ind w:left="-108"/>
            </w:pPr>
          </w:p>
          <w:p w14:paraId="229AA648" w14:textId="60681903" w:rsidR="00D578D6" w:rsidRDefault="00D578D6" w:rsidP="00E312BD">
            <w:pPr>
              <w:ind w:left="-108"/>
            </w:pPr>
            <w:r>
              <w:t xml:space="preserve">Our </w:t>
            </w:r>
            <w:r w:rsidR="0037246F">
              <w:t xml:space="preserve">microscopes were </w:t>
            </w:r>
            <w:r w:rsidR="007A3107">
              <w:t>not in need of service due to limited use during 2020. We will request this cleaning in the 2021-22 Strategic plan.</w:t>
            </w:r>
            <w:r>
              <w:t xml:space="preserve"> </w:t>
            </w:r>
          </w:p>
          <w:p w14:paraId="1A7FD327" w14:textId="286DD10A" w:rsidR="007A3107" w:rsidRDefault="007A3107" w:rsidP="00E312BD">
            <w:pPr>
              <w:ind w:left="-108"/>
            </w:pPr>
            <w:r>
              <w:t xml:space="preserve">We will request the purchase of the 50x objectives for the Leica microscopes in the 2021-22 Strategic plan. Due to the use of hematology microscopic case studies purchased through </w:t>
            </w:r>
            <w:proofErr w:type="spellStart"/>
            <w:r>
              <w:t>LabCE</w:t>
            </w:r>
            <w:proofErr w:type="spellEnd"/>
            <w:r>
              <w:t xml:space="preserve"> </w:t>
            </w:r>
            <w:r>
              <w:lastRenderedPageBreak/>
              <w:t>due to limited campus lab activities due to Covid, immediate need was not necessary.</w:t>
            </w:r>
          </w:p>
        </w:tc>
      </w:tr>
      <w:tr w:rsidR="00E312BD" w14:paraId="044D2BC2" w14:textId="77777777" w:rsidTr="00E312BD">
        <w:trPr>
          <w:trHeight w:val="54"/>
        </w:trPr>
        <w:tc>
          <w:tcPr>
            <w:tcW w:w="3235" w:type="dxa"/>
            <w:tcBorders>
              <w:top w:val="single" w:sz="4" w:space="0" w:color="auto"/>
              <w:left w:val="single" w:sz="4" w:space="0" w:color="auto"/>
              <w:bottom w:val="single" w:sz="4" w:space="0" w:color="auto"/>
              <w:right w:val="single" w:sz="4" w:space="0" w:color="auto"/>
            </w:tcBorders>
          </w:tcPr>
          <w:p w14:paraId="6267AA40" w14:textId="77777777" w:rsidR="00013DBC" w:rsidRPr="0049335F" w:rsidRDefault="00013DBC" w:rsidP="00013DBC">
            <w:r>
              <w:lastRenderedPageBreak/>
              <w:t>Maintain faculty offices with up-to-date hardware and software in order to provide quality instruction</w:t>
            </w:r>
          </w:p>
          <w:p w14:paraId="3DFB461F" w14:textId="77777777" w:rsidR="00013DBC" w:rsidRDefault="00013DBC" w:rsidP="00013DBC">
            <w:pPr>
              <w:rPr>
                <w:b/>
              </w:rPr>
            </w:pPr>
            <w:r>
              <w:rPr>
                <w:b/>
              </w:rPr>
              <w:t>Long Range Goal 3.2</w:t>
            </w:r>
          </w:p>
          <w:p w14:paraId="6BBDEA2D" w14:textId="77777777" w:rsidR="00013DBC" w:rsidRPr="002423BC" w:rsidRDefault="00013DBC" w:rsidP="00013DBC">
            <w:pPr>
              <w:rPr>
                <w:rFonts w:eastAsia="Times New Roman" w:cs="Arial"/>
              </w:rPr>
            </w:pPr>
            <w:r w:rsidRPr="0049335F">
              <w:rPr>
                <w:rFonts w:eastAsia="Times New Roman" w:cs="Arial"/>
              </w:rPr>
              <w:t xml:space="preserve">Physical facilities, technological resources and other resources that promote learning. </w:t>
            </w:r>
          </w:p>
          <w:p w14:paraId="6FCDB529" w14:textId="77777777" w:rsidR="00013DBC" w:rsidRPr="004A19A7" w:rsidRDefault="00013DBC" w:rsidP="00013DBC">
            <w:pPr>
              <w:rPr>
                <w:b/>
              </w:rPr>
            </w:pPr>
            <w:r>
              <w:rPr>
                <w:b/>
              </w:rPr>
              <w:t>NAACLS Standard III.C.</w:t>
            </w:r>
          </w:p>
          <w:p w14:paraId="41ABC6A1" w14:textId="77777777" w:rsidR="00013DBC" w:rsidRPr="004A19A7" w:rsidRDefault="00013DBC" w:rsidP="00013DBC">
            <w:pPr>
              <w:autoSpaceDE w:val="0"/>
              <w:autoSpaceDN w:val="0"/>
              <w:adjustRightInd w:val="0"/>
              <w:rPr>
                <w:rFonts w:cs="Arial"/>
                <w:color w:val="000000"/>
              </w:rPr>
            </w:pPr>
            <w:r w:rsidRPr="004A19A7">
              <w:rPr>
                <w:rFonts w:cs="Arial"/>
                <w:color w:val="000000"/>
              </w:rPr>
              <w:t xml:space="preserve">Physical Resources </w:t>
            </w:r>
          </w:p>
          <w:p w14:paraId="66FD4C11" w14:textId="75EFD525" w:rsidR="00E312BD" w:rsidRPr="00E312BD" w:rsidRDefault="00013DBC" w:rsidP="00013DBC">
            <w:pPr>
              <w:rPr>
                <w:rFonts w:cstheme="minorHAnsi"/>
              </w:rPr>
            </w:pPr>
            <w:r w:rsidRPr="004A19A7">
              <w:rPr>
                <w:rFonts w:cs="Arial"/>
                <w:color w:val="000000"/>
              </w:rPr>
              <w:t>Physical resources such as facilities, equipment and supplies, information resources, and instructional resources sufficient to achieve the</w:t>
            </w:r>
            <w:r w:rsidRPr="004A19A7">
              <w:rPr>
                <w:rFonts w:ascii="Arial" w:hAnsi="Arial" w:cs="Arial"/>
                <w:color w:val="000000"/>
                <w:sz w:val="23"/>
                <w:szCs w:val="23"/>
              </w:rPr>
              <w:t xml:space="preserve"> </w:t>
            </w:r>
            <w:r w:rsidRPr="006D7E0D">
              <w:rPr>
                <w:rFonts w:cs="Arial"/>
                <w:color w:val="000000"/>
              </w:rPr>
              <w:t>program goals.</w:t>
            </w:r>
          </w:p>
        </w:tc>
        <w:tc>
          <w:tcPr>
            <w:tcW w:w="3261" w:type="dxa"/>
            <w:tcBorders>
              <w:left w:val="single" w:sz="6" w:space="0" w:color="auto"/>
              <w:right w:val="single" w:sz="4" w:space="0" w:color="auto"/>
            </w:tcBorders>
          </w:tcPr>
          <w:p w14:paraId="4659A155" w14:textId="77777777" w:rsidR="00662BE6" w:rsidRDefault="00662BE6" w:rsidP="00662BE6">
            <w:r>
              <w:t>1. Carpet removal and replace with tile in rooms GLB 220 estimated cost $500.00</w:t>
            </w:r>
          </w:p>
          <w:p w14:paraId="778F12D1" w14:textId="77777777" w:rsidR="00662BE6" w:rsidRDefault="00662BE6" w:rsidP="00662BE6"/>
          <w:p w14:paraId="3D8BF8B7" w14:textId="46D1CD11" w:rsidR="00CB6AA7" w:rsidRDefault="00662BE6" w:rsidP="00662BE6">
            <w:r>
              <w:t>2. Paint office GLB 220 $500.00</w:t>
            </w:r>
          </w:p>
          <w:p w14:paraId="4E583C00" w14:textId="7AA57740" w:rsidR="00CB6AA7" w:rsidRPr="00CB6AA7" w:rsidRDefault="00CB6AA7" w:rsidP="00CB6AA7">
            <w:pPr>
              <w:rPr>
                <w:color w:val="FF0000"/>
              </w:rPr>
            </w:pPr>
          </w:p>
        </w:tc>
        <w:tc>
          <w:tcPr>
            <w:tcW w:w="3205" w:type="dxa"/>
            <w:tcBorders>
              <w:left w:val="single" w:sz="4" w:space="0" w:color="auto"/>
              <w:right w:val="single" w:sz="6" w:space="0" w:color="auto"/>
            </w:tcBorders>
          </w:tcPr>
          <w:p w14:paraId="2025235A" w14:textId="40893571" w:rsidR="00E312BD" w:rsidRDefault="00E312BD" w:rsidP="00E312BD">
            <w:r>
              <w:t>This goal was completed</w:t>
            </w:r>
          </w:p>
          <w:p w14:paraId="1D4022F1" w14:textId="77777777" w:rsidR="00E312BD" w:rsidRDefault="00E312BD" w:rsidP="00E312BD"/>
          <w:p w14:paraId="06F55C82" w14:textId="2FBA4058" w:rsidR="00662BE6" w:rsidRDefault="00662BE6" w:rsidP="00662BE6">
            <w:r>
              <w:t>1.Carpet removal in GLB 220 required that both GLB 220 and 222 be tiled because they are connecting offices.</w:t>
            </w:r>
          </w:p>
          <w:p w14:paraId="0DEA9AC8" w14:textId="77777777" w:rsidR="00662BE6" w:rsidRDefault="00662BE6" w:rsidP="00662BE6"/>
          <w:p w14:paraId="2A029F3F" w14:textId="3F88C33C" w:rsidR="00E312BD" w:rsidRDefault="00662BE6" w:rsidP="00662BE6">
            <w:r>
              <w:t>2. Paint office GLB 220 and 222 was completed.</w:t>
            </w:r>
          </w:p>
        </w:tc>
        <w:tc>
          <w:tcPr>
            <w:tcW w:w="3243" w:type="dxa"/>
            <w:tcBorders>
              <w:left w:val="single" w:sz="6" w:space="0" w:color="auto"/>
            </w:tcBorders>
          </w:tcPr>
          <w:p w14:paraId="2C62B1FB" w14:textId="77777777" w:rsidR="00E51C83" w:rsidRDefault="00E51C83" w:rsidP="00E312BD">
            <w:r>
              <w:t xml:space="preserve">1. </w:t>
            </w:r>
            <w:r w:rsidR="00013DBC">
              <w:t>Rooms 220 and 222 in the George Layton Building were both renovated to include the removal of</w:t>
            </w:r>
            <w:r w:rsidR="00E312BD">
              <w:t xml:space="preserve"> carpet</w:t>
            </w:r>
            <w:r w:rsidR="00013DBC">
              <w:t xml:space="preserve"> and replaced with tile. </w:t>
            </w:r>
          </w:p>
          <w:p w14:paraId="5BC3DEF4" w14:textId="17D3F2C1" w:rsidR="00E312BD" w:rsidRPr="003C347E" w:rsidRDefault="00E51C83" w:rsidP="00E312BD">
            <w:r>
              <w:t xml:space="preserve">2. </w:t>
            </w:r>
            <w:r w:rsidR="00013DBC">
              <w:t>Both rooms were painted, and new internet connections added. This space will now be the office of the Education Coordinator for the Histologic Technician program (HST).</w:t>
            </w:r>
          </w:p>
        </w:tc>
      </w:tr>
      <w:tr w:rsidR="00E312BD" w14:paraId="1B530FCA" w14:textId="77777777" w:rsidTr="00E312BD">
        <w:trPr>
          <w:trHeight w:val="54"/>
        </w:trPr>
        <w:tc>
          <w:tcPr>
            <w:tcW w:w="3235" w:type="dxa"/>
            <w:tcBorders>
              <w:right w:val="single" w:sz="6" w:space="0" w:color="auto"/>
            </w:tcBorders>
          </w:tcPr>
          <w:p w14:paraId="06D02491" w14:textId="77777777" w:rsidR="00E312BD" w:rsidRDefault="00E312BD" w:rsidP="00E312BD">
            <w:r w:rsidRPr="00FE6797">
              <w:t>Monitor student progress</w:t>
            </w:r>
            <w:r>
              <w:t xml:space="preserve"> with online tools that will enhance competency within the curriculum.</w:t>
            </w:r>
          </w:p>
          <w:p w14:paraId="7A178D2A" w14:textId="77777777" w:rsidR="00E312BD" w:rsidRPr="00D92E19" w:rsidRDefault="00E312BD" w:rsidP="00E312BD">
            <w:pPr>
              <w:rPr>
                <w:b/>
              </w:rPr>
            </w:pPr>
            <w:r w:rsidRPr="00D92E19">
              <w:rPr>
                <w:b/>
              </w:rPr>
              <w:t>Program Outcome</w:t>
            </w:r>
          </w:p>
          <w:p w14:paraId="2A71AFD0" w14:textId="748F70D3" w:rsidR="00E312BD" w:rsidRDefault="00E312BD" w:rsidP="00E312BD">
            <w:r>
              <w:t>#2. Graduates will take the ASCP BOC national certification exam with a pass rate at or above the NAACLS benchmark of 75%</w:t>
            </w:r>
          </w:p>
        </w:tc>
        <w:tc>
          <w:tcPr>
            <w:tcW w:w="3261" w:type="dxa"/>
            <w:tcBorders>
              <w:left w:val="single" w:sz="6" w:space="0" w:color="auto"/>
              <w:right w:val="single" w:sz="4" w:space="0" w:color="auto"/>
            </w:tcBorders>
          </w:tcPr>
          <w:p w14:paraId="75C572EA" w14:textId="45BC0261" w:rsidR="00662BE6" w:rsidRPr="001E19E6" w:rsidRDefault="001E19E6" w:rsidP="00662BE6">
            <w:r w:rsidRPr="001E19E6">
              <w:t>Maintain yearly MLT subscriptions and accreditation fees</w:t>
            </w:r>
          </w:p>
          <w:p w14:paraId="5C6D38A6" w14:textId="06BF58FC" w:rsidR="00662BE6" w:rsidRPr="001E19E6" w:rsidRDefault="00662BE6" w:rsidP="00662BE6">
            <w:r w:rsidRPr="001E19E6">
              <w:t xml:space="preserve">1. ASCP BOC testing report </w:t>
            </w:r>
          </w:p>
          <w:p w14:paraId="65232327" w14:textId="77777777" w:rsidR="00662BE6" w:rsidRPr="001E19E6" w:rsidRDefault="00662BE6" w:rsidP="00662BE6">
            <w:r w:rsidRPr="001E19E6">
              <w:t xml:space="preserve">Cost:  $150.00 per year. </w:t>
            </w:r>
          </w:p>
          <w:p w14:paraId="100869C2" w14:textId="77777777" w:rsidR="00662BE6" w:rsidRPr="001E19E6" w:rsidRDefault="00662BE6" w:rsidP="00662BE6">
            <w:r w:rsidRPr="001E19E6">
              <w:t xml:space="preserve">2. </w:t>
            </w:r>
            <w:proofErr w:type="spellStart"/>
            <w:r w:rsidRPr="001E19E6">
              <w:t>Medtraining</w:t>
            </w:r>
            <w:proofErr w:type="spellEnd"/>
            <w:r w:rsidRPr="001E19E6">
              <w:t xml:space="preserve"> training subscription </w:t>
            </w:r>
          </w:p>
          <w:p w14:paraId="2DCE021B" w14:textId="77777777" w:rsidR="00662BE6" w:rsidRPr="001E19E6" w:rsidRDefault="00662BE6" w:rsidP="00662BE6">
            <w:r w:rsidRPr="001E19E6">
              <w:t>Cost: $1,390.00 yearly</w:t>
            </w:r>
          </w:p>
          <w:p w14:paraId="53339C5A" w14:textId="77777777" w:rsidR="00662BE6" w:rsidRPr="001E19E6" w:rsidRDefault="00662BE6" w:rsidP="00662BE6">
            <w:r w:rsidRPr="001E19E6">
              <w:t>3. NAACLS Accreditation yearly fees $2325.00</w:t>
            </w:r>
          </w:p>
          <w:p w14:paraId="6C43A830" w14:textId="3960C8B7" w:rsidR="00E312BD" w:rsidRPr="001E19E6" w:rsidRDefault="00662BE6" w:rsidP="00E312BD">
            <w:pPr>
              <w:rPr>
                <w:color w:val="FF0000"/>
                <w:highlight w:val="yellow"/>
              </w:rPr>
            </w:pPr>
            <w:r w:rsidRPr="001E19E6">
              <w:t>4. Orchard Software license $2880.</w:t>
            </w:r>
          </w:p>
        </w:tc>
        <w:tc>
          <w:tcPr>
            <w:tcW w:w="3205" w:type="dxa"/>
            <w:tcBorders>
              <w:left w:val="single" w:sz="4" w:space="0" w:color="auto"/>
              <w:right w:val="single" w:sz="6" w:space="0" w:color="auto"/>
            </w:tcBorders>
          </w:tcPr>
          <w:p w14:paraId="4F2B977C" w14:textId="7A1E407F" w:rsidR="00E312BD" w:rsidRDefault="00E312BD" w:rsidP="00E312BD">
            <w:r>
              <w:t>This goal was completed</w:t>
            </w:r>
          </w:p>
          <w:p w14:paraId="759D3874" w14:textId="77777777" w:rsidR="008978B3" w:rsidRDefault="008978B3" w:rsidP="00E312BD"/>
          <w:p w14:paraId="7A9825C8" w14:textId="60F03496" w:rsidR="007A3107" w:rsidRDefault="007A3107" w:rsidP="00E312BD">
            <w:r>
              <w:t xml:space="preserve">The </w:t>
            </w:r>
            <w:r w:rsidR="008978B3">
              <w:t>program-maintained</w:t>
            </w:r>
            <w:r>
              <w:t xml:space="preserve"> subscriptions to the ASCP BOC testing report, </w:t>
            </w:r>
            <w:proofErr w:type="spellStart"/>
            <w:r>
              <w:t>Medtraining</w:t>
            </w:r>
            <w:proofErr w:type="spellEnd"/>
            <w:r>
              <w:t xml:space="preserve"> subscription</w:t>
            </w:r>
            <w:r w:rsidR="008978B3">
              <w:t xml:space="preserve">, NAACLS Accreditation fees and Orchard software license. </w:t>
            </w:r>
          </w:p>
        </w:tc>
        <w:tc>
          <w:tcPr>
            <w:tcW w:w="3243" w:type="dxa"/>
            <w:tcBorders>
              <w:left w:val="single" w:sz="6" w:space="0" w:color="auto"/>
            </w:tcBorders>
          </w:tcPr>
          <w:p w14:paraId="02874AF3" w14:textId="1A4CCE40" w:rsidR="00E312BD" w:rsidRDefault="00E51C83" w:rsidP="00013DBC">
            <w:r>
              <w:t xml:space="preserve">1. </w:t>
            </w:r>
            <w:r w:rsidR="00E312BD">
              <w:t xml:space="preserve">The purchase of the ASCP BOC report and Yearly subscription for </w:t>
            </w:r>
            <w:proofErr w:type="spellStart"/>
            <w:r w:rsidR="00E312BD">
              <w:t>Medtraining</w:t>
            </w:r>
            <w:proofErr w:type="spellEnd"/>
            <w:r w:rsidR="00E312BD">
              <w:t xml:space="preserve"> helps the program follow and monitor the need for curriculum changes </w:t>
            </w:r>
            <w:r w:rsidR="008978B3">
              <w:t>through program assessment mechanisms.</w:t>
            </w:r>
            <w:r w:rsidR="00E312BD">
              <w:t xml:space="preserve"> </w:t>
            </w:r>
          </w:p>
        </w:tc>
      </w:tr>
      <w:tr w:rsidR="00E312BD" w14:paraId="4CBC95EC" w14:textId="77777777" w:rsidTr="00E312BD">
        <w:trPr>
          <w:trHeight w:val="54"/>
        </w:trPr>
        <w:tc>
          <w:tcPr>
            <w:tcW w:w="3235" w:type="dxa"/>
          </w:tcPr>
          <w:p w14:paraId="32C7173A" w14:textId="77777777" w:rsidR="00E312BD" w:rsidRDefault="00E312BD" w:rsidP="00E312BD">
            <w:r>
              <w:t xml:space="preserve">Keep abreast of changes and trends in the Laboratory Science </w:t>
            </w:r>
            <w:r>
              <w:lastRenderedPageBreak/>
              <w:t>profession to improve classroom instruction.</w:t>
            </w:r>
          </w:p>
          <w:p w14:paraId="1AD2E516" w14:textId="77777777" w:rsidR="00E312BD" w:rsidRDefault="00E312BD" w:rsidP="00E312BD">
            <w:pPr>
              <w:rPr>
                <w:rFonts w:eastAsia="Times New Roman" w:cs="Arial"/>
              </w:rPr>
            </w:pPr>
            <w:r w:rsidRPr="00D87587">
              <w:rPr>
                <w:b/>
              </w:rPr>
              <w:t>NAACLS Standard</w:t>
            </w:r>
            <w:r>
              <w:rPr>
                <w:b/>
              </w:rPr>
              <w:t>s</w:t>
            </w:r>
            <w:r>
              <w:t xml:space="preserve"> </w:t>
            </w:r>
            <w:r w:rsidRPr="00D87587">
              <w:rPr>
                <w:rFonts w:eastAsia="Times New Roman" w:cs="Arial"/>
              </w:rPr>
              <w:t xml:space="preserve">NAACLS standard VII.A.2.C. </w:t>
            </w:r>
            <w:r w:rsidRPr="00D87587">
              <w:rPr>
                <w:rFonts w:eastAsia="Times New Roman" w:cs="Arial"/>
                <w:b/>
              </w:rPr>
              <w:t>The program coordinator</w:t>
            </w:r>
            <w:r>
              <w:rPr>
                <w:rFonts w:eastAsia="Times New Roman" w:cs="Arial"/>
              </w:rPr>
              <w:t xml:space="preserve"> must show</w:t>
            </w:r>
          </w:p>
          <w:p w14:paraId="27AB4EBE" w14:textId="77777777" w:rsidR="00E312BD" w:rsidRPr="00D87587" w:rsidRDefault="00E312BD" w:rsidP="00E312BD">
            <w:r w:rsidRPr="00D87587">
              <w:rPr>
                <w:rFonts w:eastAsia="Times New Roman" w:cs="Arial"/>
              </w:rPr>
              <w:t>documentation of 36 CEU hours over each 3</w:t>
            </w:r>
            <w:r>
              <w:rPr>
                <w:rFonts w:eastAsia="Times New Roman" w:cs="Arial"/>
              </w:rPr>
              <w:t>-</w:t>
            </w:r>
            <w:r w:rsidRPr="00D87587">
              <w:rPr>
                <w:rFonts w:eastAsia="Times New Roman" w:cs="Arial"/>
              </w:rPr>
              <w:t xml:space="preserve">year period. </w:t>
            </w:r>
          </w:p>
          <w:p w14:paraId="71F88904" w14:textId="77777777" w:rsidR="00E312BD" w:rsidRPr="00D87587" w:rsidRDefault="00E312BD" w:rsidP="00E312BD">
            <w:pPr>
              <w:pStyle w:val="Default"/>
              <w:rPr>
                <w:rFonts w:asciiTheme="minorHAnsi" w:hAnsiTheme="minorHAnsi"/>
                <w:sz w:val="22"/>
                <w:szCs w:val="22"/>
              </w:rPr>
            </w:pPr>
            <w:r>
              <w:rPr>
                <w:rFonts w:asciiTheme="minorHAnsi" w:hAnsiTheme="minorHAnsi"/>
                <w:sz w:val="22"/>
                <w:szCs w:val="22"/>
              </w:rPr>
              <w:t>Standard VII.2.c.</w:t>
            </w:r>
          </w:p>
          <w:p w14:paraId="66AD4EEB" w14:textId="77777777" w:rsidR="00E312BD" w:rsidRPr="00D87587" w:rsidRDefault="00E312BD" w:rsidP="00E312BD">
            <w:pPr>
              <w:pStyle w:val="Default"/>
              <w:rPr>
                <w:rFonts w:asciiTheme="minorHAnsi" w:hAnsiTheme="minorHAnsi"/>
                <w:b/>
                <w:sz w:val="22"/>
                <w:szCs w:val="22"/>
              </w:rPr>
            </w:pPr>
            <w:r w:rsidRPr="00D87587">
              <w:rPr>
                <w:rFonts w:asciiTheme="minorHAnsi" w:hAnsiTheme="minorHAnsi"/>
                <w:b/>
                <w:sz w:val="22"/>
                <w:szCs w:val="22"/>
              </w:rPr>
              <w:t>Di</w:t>
            </w:r>
            <w:r>
              <w:rPr>
                <w:rFonts w:asciiTheme="minorHAnsi" w:hAnsiTheme="minorHAnsi"/>
                <w:b/>
                <w:sz w:val="22"/>
                <w:szCs w:val="22"/>
              </w:rPr>
              <w:t xml:space="preserve">dactic Instructor Appointments </w:t>
            </w:r>
          </w:p>
          <w:p w14:paraId="21B97FF0" w14:textId="77777777" w:rsidR="00E312BD" w:rsidRDefault="00E312BD" w:rsidP="00E312BD">
            <w:r w:rsidRPr="00D87587">
              <w:t>The program must have qualified faculty/instructors</w:t>
            </w:r>
            <w:r>
              <w:t>.</w:t>
            </w:r>
            <w:r w:rsidRPr="00D87587">
              <w:t xml:space="preserve">  The program must ensure and document ongoing professional development of th</w:t>
            </w:r>
            <w:r>
              <w:t>e program faculty/instructors.</w:t>
            </w:r>
          </w:p>
          <w:p w14:paraId="646DE99C" w14:textId="77777777" w:rsidR="00E312BD" w:rsidRDefault="00E312BD" w:rsidP="00E312BD">
            <w:pPr>
              <w:rPr>
                <w:b/>
              </w:rPr>
            </w:pPr>
            <w:r>
              <w:rPr>
                <w:b/>
              </w:rPr>
              <w:t>College Action Priority #3</w:t>
            </w:r>
          </w:p>
          <w:p w14:paraId="65B1BCB2" w14:textId="67A7F430" w:rsidR="00E312BD" w:rsidRDefault="00E312BD" w:rsidP="00E312BD">
            <w:r>
              <w:t>Increase Professional Development opportunities for faculty and staff.</w:t>
            </w:r>
          </w:p>
        </w:tc>
        <w:tc>
          <w:tcPr>
            <w:tcW w:w="3261" w:type="dxa"/>
            <w:tcBorders>
              <w:left w:val="single" w:sz="6" w:space="0" w:color="auto"/>
              <w:right w:val="single" w:sz="4" w:space="0" w:color="auto"/>
            </w:tcBorders>
          </w:tcPr>
          <w:p w14:paraId="0EC78CC5" w14:textId="0F468A3A" w:rsidR="00E312BD" w:rsidRDefault="00E312BD" w:rsidP="00E312BD">
            <w:r>
              <w:lastRenderedPageBreak/>
              <w:t>1. Provide the MLT full-time faculty the opportunity to obtain professional development.</w:t>
            </w:r>
          </w:p>
        </w:tc>
        <w:tc>
          <w:tcPr>
            <w:tcW w:w="3205" w:type="dxa"/>
            <w:tcBorders>
              <w:left w:val="single" w:sz="4" w:space="0" w:color="auto"/>
              <w:right w:val="single" w:sz="6" w:space="0" w:color="auto"/>
            </w:tcBorders>
          </w:tcPr>
          <w:p w14:paraId="2656C34F" w14:textId="77777777" w:rsidR="00E312BD" w:rsidRDefault="00E312BD" w:rsidP="00E312BD">
            <w:r>
              <w:t>This goal was completed</w:t>
            </w:r>
          </w:p>
          <w:p w14:paraId="4097BE98" w14:textId="77777777" w:rsidR="008978B3" w:rsidRDefault="008978B3" w:rsidP="00E312BD"/>
          <w:p w14:paraId="1870127F" w14:textId="2925DB04" w:rsidR="008978B3" w:rsidRDefault="008978B3" w:rsidP="00E312BD">
            <w:r>
              <w:lastRenderedPageBreak/>
              <w:t>Due to COVID full-time faculty were unable to attend CLEC seminar or participate in any other face-to-face CEU opportunities. Online instruction was completed to satisfy the NAACLS standard.</w:t>
            </w:r>
          </w:p>
        </w:tc>
        <w:tc>
          <w:tcPr>
            <w:tcW w:w="3243" w:type="dxa"/>
            <w:tcBorders>
              <w:left w:val="single" w:sz="6" w:space="0" w:color="auto"/>
            </w:tcBorders>
          </w:tcPr>
          <w:p w14:paraId="71841490" w14:textId="679A2DF0" w:rsidR="0004096C" w:rsidRDefault="00E51C83" w:rsidP="0004096C">
            <w:r>
              <w:lastRenderedPageBreak/>
              <w:t xml:space="preserve">1. </w:t>
            </w:r>
            <w:r w:rsidR="0004096C">
              <w:t xml:space="preserve">The program coordinator and clinical coordinator completed required continuing professional </w:t>
            </w:r>
            <w:r w:rsidR="0004096C">
              <w:lastRenderedPageBreak/>
              <w:t xml:space="preserve">development </w:t>
            </w:r>
            <w:r w:rsidR="008978B3">
              <w:t>required by the college for online instruction.</w:t>
            </w:r>
            <w:r w:rsidR="0004096C">
              <w:t xml:space="preserve"> </w:t>
            </w:r>
          </w:p>
          <w:p w14:paraId="217A6E6A" w14:textId="770A73DB" w:rsidR="00E312BD" w:rsidRPr="002C4FA3" w:rsidRDefault="00E312BD" w:rsidP="00E312BD">
            <w:r>
              <w:t>The full</w:t>
            </w:r>
            <w:r w:rsidR="0004096C">
              <w:t>-</w:t>
            </w:r>
            <w:r>
              <w:t xml:space="preserve"> time clinical</w:t>
            </w:r>
            <w:r w:rsidR="0004096C">
              <w:t xml:space="preserve"> </w:t>
            </w:r>
            <w:r>
              <w:t xml:space="preserve">coordinator </w:t>
            </w:r>
            <w:r w:rsidR="0004096C" w:rsidRPr="002C4FA3">
              <w:t>obtained</w:t>
            </w:r>
            <w:r w:rsidRPr="002C4FA3">
              <w:t xml:space="preserve"> CEU credits that satisfied the NAACLS</w:t>
            </w:r>
            <w:r w:rsidR="008978B3">
              <w:t xml:space="preserve"> </w:t>
            </w:r>
            <w:r w:rsidRPr="002C4FA3">
              <w:t>requirement</w:t>
            </w:r>
          </w:p>
          <w:p w14:paraId="0A39213B" w14:textId="000A3209" w:rsidR="00E312BD" w:rsidRDefault="00E312BD" w:rsidP="00E312BD">
            <w:r w:rsidRPr="002C4FA3">
              <w:t>The program coordinator earn</w:t>
            </w:r>
            <w:r w:rsidR="0004096C" w:rsidRPr="002C4FA3">
              <w:t>ed</w:t>
            </w:r>
            <w:r w:rsidRPr="002C4FA3">
              <w:t xml:space="preserve"> </w:t>
            </w:r>
            <w:r w:rsidRPr="00E51C83">
              <w:t>11 CEU hours</w:t>
            </w:r>
            <w:r w:rsidRPr="002C4FA3">
              <w:t xml:space="preserve"> satisfying the NAACLS 36 CEU every three years requirement.</w:t>
            </w:r>
          </w:p>
        </w:tc>
      </w:tr>
      <w:tr w:rsidR="00E312BD" w14:paraId="4967129D" w14:textId="77777777" w:rsidTr="00E312BD">
        <w:trPr>
          <w:trHeight w:val="54"/>
        </w:trPr>
        <w:tc>
          <w:tcPr>
            <w:tcW w:w="3235" w:type="dxa"/>
          </w:tcPr>
          <w:p w14:paraId="314FD292" w14:textId="77777777" w:rsidR="00E312BD" w:rsidRPr="00764D95" w:rsidRDefault="00E312BD" w:rsidP="00E312BD">
            <w:r w:rsidRPr="00725514">
              <w:lastRenderedPageBreak/>
              <w:t>Continue to develop and implement written Student Learning Outcomes (SLOs) for all courses in the department to more adequately document and enhance reporting of stud</w:t>
            </w:r>
            <w:r>
              <w:t>ent progress in the department.</w:t>
            </w:r>
          </w:p>
          <w:p w14:paraId="5E4DEB8D" w14:textId="77777777" w:rsidR="00E312BD" w:rsidRPr="007B149C" w:rsidRDefault="00E312BD" w:rsidP="00E312BD">
            <w:pPr>
              <w:rPr>
                <w:b/>
              </w:rPr>
            </w:pPr>
            <w:r w:rsidRPr="007B149C">
              <w:rPr>
                <w:b/>
              </w:rPr>
              <w:t>Program Outcome</w:t>
            </w:r>
          </w:p>
          <w:p w14:paraId="6E52691F" w14:textId="77777777" w:rsidR="00E312BD" w:rsidRDefault="00E312BD" w:rsidP="00E312BD">
            <w:r w:rsidRPr="007B149C">
              <w:t>#4. Employers and graduates returning surveys will report 85% satisfaction with educational preparation</w:t>
            </w:r>
          </w:p>
          <w:p w14:paraId="6A97AF7D" w14:textId="77777777" w:rsidR="00E312BD" w:rsidRDefault="00E312BD" w:rsidP="00E312BD">
            <w:pPr>
              <w:rPr>
                <w:b/>
              </w:rPr>
            </w:pPr>
            <w:r>
              <w:rPr>
                <w:b/>
              </w:rPr>
              <w:t>College Action Priority #4</w:t>
            </w:r>
          </w:p>
          <w:p w14:paraId="08E4BAA1" w14:textId="58343789" w:rsidR="00E312BD" w:rsidRPr="00544D74" w:rsidRDefault="00E312BD" w:rsidP="00E312BD">
            <w:r>
              <w:lastRenderedPageBreak/>
              <w:t>Increase visibility and promote communication both inside and outside of the college</w:t>
            </w:r>
          </w:p>
        </w:tc>
        <w:tc>
          <w:tcPr>
            <w:tcW w:w="3261" w:type="dxa"/>
          </w:tcPr>
          <w:p w14:paraId="38070B87" w14:textId="6B0A1E1D" w:rsidR="00CB6AA7" w:rsidRPr="001E19E6" w:rsidRDefault="00CB6AA7" w:rsidP="00E312BD">
            <w:r w:rsidRPr="001E19E6">
              <w:lastRenderedPageBreak/>
              <w:t xml:space="preserve">No funding </w:t>
            </w:r>
            <w:r w:rsidR="001E19E6" w:rsidRPr="001E19E6">
              <w:t>necessary</w:t>
            </w:r>
            <w:r w:rsidRPr="001E19E6">
              <w:t xml:space="preserve"> due to meetings being held via Zoom</w:t>
            </w:r>
            <w:r w:rsidR="001E19E6" w:rsidRPr="001E19E6">
              <w:t>.</w:t>
            </w:r>
          </w:p>
          <w:p w14:paraId="49CCBF02" w14:textId="77777777" w:rsidR="001E19E6" w:rsidRPr="001E19E6" w:rsidRDefault="001E19E6" w:rsidP="00E312BD"/>
          <w:p w14:paraId="35B43EFE" w14:textId="77777777" w:rsidR="00CB6AA7" w:rsidRPr="00CB6AA7" w:rsidRDefault="00CB6AA7" w:rsidP="00E312BD">
            <w:pPr>
              <w:rPr>
                <w:color w:val="FF0000"/>
              </w:rPr>
            </w:pPr>
          </w:p>
          <w:p w14:paraId="3F9FBE5D" w14:textId="77777777" w:rsidR="00E312BD" w:rsidRDefault="00E312BD" w:rsidP="001E19E6"/>
        </w:tc>
        <w:tc>
          <w:tcPr>
            <w:tcW w:w="3205" w:type="dxa"/>
            <w:tcBorders>
              <w:left w:val="single" w:sz="4" w:space="0" w:color="auto"/>
              <w:right w:val="single" w:sz="6" w:space="0" w:color="auto"/>
            </w:tcBorders>
          </w:tcPr>
          <w:p w14:paraId="24F7EA4D" w14:textId="65A4091E" w:rsidR="00E312BD" w:rsidRDefault="00E312BD" w:rsidP="00E312BD">
            <w:r>
              <w:t>This goal was completed</w:t>
            </w:r>
          </w:p>
          <w:p w14:paraId="60FEB603" w14:textId="2699836F" w:rsidR="00731378" w:rsidRDefault="00731378" w:rsidP="00E312BD"/>
          <w:p w14:paraId="79CD76A9" w14:textId="5A4E31E5" w:rsidR="00731378" w:rsidRDefault="00731378" w:rsidP="00731378">
            <w:r w:rsidRPr="00C83132">
              <w:t xml:space="preserve">The advisory committee met twice this year </w:t>
            </w:r>
            <w:r>
              <w:t>in November</w:t>
            </w:r>
            <w:r w:rsidRPr="00C83132">
              <w:t xml:space="preserve"> and </w:t>
            </w:r>
            <w:r>
              <w:t>May.</w:t>
            </w:r>
          </w:p>
          <w:p w14:paraId="6A53F3D7" w14:textId="77777777" w:rsidR="00731378" w:rsidRDefault="00731378" w:rsidP="00E312BD"/>
          <w:p w14:paraId="31C7606A" w14:textId="77777777" w:rsidR="00731378" w:rsidRDefault="00731378" w:rsidP="00E312BD"/>
          <w:p w14:paraId="6E56D9D0" w14:textId="52AE4C13" w:rsidR="00731378" w:rsidRDefault="00731378" w:rsidP="00731378"/>
        </w:tc>
        <w:tc>
          <w:tcPr>
            <w:tcW w:w="3243" w:type="dxa"/>
            <w:tcBorders>
              <w:left w:val="single" w:sz="6" w:space="0" w:color="auto"/>
            </w:tcBorders>
          </w:tcPr>
          <w:p w14:paraId="322C9189" w14:textId="23C1934D" w:rsidR="00731378" w:rsidRDefault="00E51C83" w:rsidP="00731378">
            <w:r>
              <w:t xml:space="preserve">1. </w:t>
            </w:r>
            <w:r w:rsidR="00731378">
              <w:t>Due to COVID funding for advisory committee meetings was not used. Both meetings were held via ZOOM and program assessments and changes were shared with the committee and documented in the advisory meeting minutes.</w:t>
            </w:r>
          </w:p>
          <w:p w14:paraId="7FDFD7CF" w14:textId="540155B2" w:rsidR="00731378" w:rsidRDefault="00731378" w:rsidP="00E312BD"/>
        </w:tc>
      </w:tr>
      <w:tr w:rsidR="00E312BD" w:rsidRPr="0004096C" w14:paraId="742DA138" w14:textId="77777777" w:rsidTr="00E312BD">
        <w:trPr>
          <w:trHeight w:val="54"/>
        </w:trPr>
        <w:tc>
          <w:tcPr>
            <w:tcW w:w="3235" w:type="dxa"/>
          </w:tcPr>
          <w:p w14:paraId="745F3727" w14:textId="77777777" w:rsidR="00E312BD" w:rsidRPr="005A01F0" w:rsidRDefault="00E312BD" w:rsidP="00E312BD">
            <w:r w:rsidRPr="005A01F0">
              <w:t>Develop contracts with additional healthcare settings to increase the number of student enrollment in the program.</w:t>
            </w:r>
          </w:p>
          <w:p w14:paraId="03D3D5C6" w14:textId="77777777" w:rsidR="00E312BD" w:rsidRPr="005A01F0" w:rsidRDefault="00E312BD" w:rsidP="00E312BD">
            <w:pPr>
              <w:rPr>
                <w:b/>
              </w:rPr>
            </w:pPr>
            <w:r w:rsidRPr="005A01F0">
              <w:rPr>
                <w:b/>
              </w:rPr>
              <w:t>Program Outcome</w:t>
            </w:r>
          </w:p>
          <w:p w14:paraId="70BCB11E" w14:textId="77777777" w:rsidR="00E312BD" w:rsidRDefault="00E312BD" w:rsidP="00E312BD">
            <w:r w:rsidRPr="005A01F0">
              <w:t>#1. 70% of students admitted to the MLT program will complete as technically competent individuals ready to enter the laboratory workforce</w:t>
            </w:r>
            <w:r>
              <w:t>.</w:t>
            </w:r>
          </w:p>
          <w:p w14:paraId="11E3C1D7" w14:textId="77777777" w:rsidR="00E312BD" w:rsidRDefault="00E312BD" w:rsidP="00E312BD">
            <w:pPr>
              <w:rPr>
                <w:b/>
              </w:rPr>
            </w:pPr>
            <w:r>
              <w:rPr>
                <w:b/>
              </w:rPr>
              <w:t>College Action Priority #4</w:t>
            </w:r>
          </w:p>
          <w:p w14:paraId="37C358F2" w14:textId="699004FC" w:rsidR="00E312BD" w:rsidRPr="005A01F0" w:rsidRDefault="00E312BD" w:rsidP="00E312BD">
            <w:r>
              <w:t>Increase visibility and promote communication both inside and outside of the college</w:t>
            </w:r>
          </w:p>
        </w:tc>
        <w:tc>
          <w:tcPr>
            <w:tcW w:w="3261" w:type="dxa"/>
          </w:tcPr>
          <w:p w14:paraId="7B7A0F03" w14:textId="2A274366" w:rsidR="00CB6AA7" w:rsidRPr="001E19E6" w:rsidRDefault="00CB6AA7" w:rsidP="00E312BD">
            <w:r w:rsidRPr="001E19E6">
              <w:t>Provide funding for faculty to travel clinical sites</w:t>
            </w:r>
          </w:p>
          <w:p w14:paraId="6CC06352" w14:textId="77777777" w:rsidR="001E19E6" w:rsidRPr="001E19E6" w:rsidRDefault="001E19E6" w:rsidP="001E19E6">
            <w:r w:rsidRPr="001E19E6">
              <w:t xml:space="preserve">1. Faculty travel expenses </w:t>
            </w:r>
          </w:p>
          <w:p w14:paraId="6CB61528" w14:textId="2BAF22B9" w:rsidR="00E312BD" w:rsidRPr="005A01F0" w:rsidRDefault="001E19E6" w:rsidP="001E19E6">
            <w:r w:rsidRPr="005A01F0">
              <w:t>Estimated cost:  $1,500.00</w:t>
            </w:r>
          </w:p>
        </w:tc>
        <w:tc>
          <w:tcPr>
            <w:tcW w:w="3205" w:type="dxa"/>
            <w:tcBorders>
              <w:left w:val="single" w:sz="4" w:space="0" w:color="auto"/>
              <w:right w:val="single" w:sz="6" w:space="0" w:color="auto"/>
            </w:tcBorders>
          </w:tcPr>
          <w:p w14:paraId="20568F54" w14:textId="7B6C4DDE" w:rsidR="00E312BD" w:rsidRDefault="00E312BD" w:rsidP="00E312BD">
            <w:r>
              <w:t>This goal was completed</w:t>
            </w:r>
          </w:p>
        </w:tc>
        <w:tc>
          <w:tcPr>
            <w:tcW w:w="3243" w:type="dxa"/>
          </w:tcPr>
          <w:p w14:paraId="5CB57DCD" w14:textId="262106AB" w:rsidR="00C44F74" w:rsidRPr="00C72669" w:rsidRDefault="00E51C83" w:rsidP="00731378">
            <w:r>
              <w:t>1.</w:t>
            </w:r>
            <w:r w:rsidR="00E312BD" w:rsidRPr="00C72669">
              <w:t xml:space="preserve">The program continues to keep in contact with clinical affiliates. </w:t>
            </w:r>
          </w:p>
          <w:p w14:paraId="6871FD6A" w14:textId="77777777" w:rsidR="00E312BD" w:rsidRPr="00C72669" w:rsidRDefault="00E312BD" w:rsidP="00E312BD"/>
          <w:p w14:paraId="7813BF45" w14:textId="28F95451" w:rsidR="00E312BD" w:rsidRPr="00C72669" w:rsidRDefault="00E312BD" w:rsidP="00E312BD">
            <w:r w:rsidRPr="00C72669">
              <w:t>Our programs retention/graduation rates continue to fall within the NAACLS benchmark. Per NAACLS guidelines we count retention/graduation numbers for students entering the third semester of the MLT program</w:t>
            </w:r>
            <w:r w:rsidR="00C72669" w:rsidRPr="00C72669">
              <w:t>. Our placement statistics are near 100% for the last three</w:t>
            </w:r>
            <w:r w:rsidR="00C72669">
              <w:t>-</w:t>
            </w:r>
            <w:r w:rsidR="00C72669" w:rsidRPr="00C72669">
              <w:t>year period</w:t>
            </w:r>
          </w:p>
          <w:p w14:paraId="289DAC42" w14:textId="77777777" w:rsidR="00E312BD" w:rsidRPr="0004096C" w:rsidRDefault="00E312BD" w:rsidP="00E312BD">
            <w:pPr>
              <w:rPr>
                <w:highlight w:val="yellow"/>
              </w:rPr>
            </w:pPr>
          </w:p>
          <w:p w14:paraId="7A002F90" w14:textId="3054698D" w:rsidR="00E312BD" w:rsidRPr="0004096C" w:rsidRDefault="00E312BD" w:rsidP="00C44F74">
            <w:pPr>
              <w:rPr>
                <w:highlight w:val="yellow"/>
              </w:rPr>
            </w:pPr>
          </w:p>
        </w:tc>
      </w:tr>
      <w:tr w:rsidR="00E312BD" w:rsidRPr="002A44E2" w14:paraId="1E2F2138" w14:textId="77777777" w:rsidTr="00E312BD">
        <w:tc>
          <w:tcPr>
            <w:tcW w:w="6496" w:type="dxa"/>
            <w:gridSpan w:val="2"/>
            <w:tcBorders>
              <w:right w:val="single" w:sz="4" w:space="0" w:color="auto"/>
            </w:tcBorders>
          </w:tcPr>
          <w:p w14:paraId="38276D12" w14:textId="77777777" w:rsidR="00E312BD" w:rsidRPr="002A44E2" w:rsidRDefault="00E312BD" w:rsidP="00E312BD">
            <w:pPr>
              <w:rPr>
                <w:sz w:val="12"/>
                <w:szCs w:val="12"/>
              </w:rPr>
            </w:pPr>
          </w:p>
          <w:p w14:paraId="5B901711" w14:textId="77777777" w:rsidR="00E312BD" w:rsidRPr="002A44E2" w:rsidRDefault="00E312BD" w:rsidP="00E312BD">
            <w:pPr>
              <w:rPr>
                <w:b/>
                <w:sz w:val="12"/>
                <w:szCs w:val="12"/>
              </w:rPr>
            </w:pPr>
          </w:p>
          <w:p w14:paraId="41D1C49D" w14:textId="41DE3861" w:rsidR="00E312BD" w:rsidRDefault="00E312BD" w:rsidP="00E312BD">
            <w:r>
              <w:rPr>
                <w:b/>
              </w:rPr>
              <w:t>S</w:t>
            </w:r>
            <w:r w:rsidRPr="00D554AC">
              <w:rPr>
                <w:b/>
              </w:rPr>
              <w:t>ubmission date</w:t>
            </w:r>
            <w:r w:rsidRPr="001E19E6">
              <w:rPr>
                <w:b/>
              </w:rPr>
              <w:t xml:space="preserve">: </w:t>
            </w:r>
            <w:r w:rsidR="001E19E6" w:rsidRPr="001E19E6">
              <w:rPr>
                <w:b/>
              </w:rPr>
              <w:t>8</w:t>
            </w:r>
            <w:r w:rsidRPr="001E19E6">
              <w:rPr>
                <w:b/>
              </w:rPr>
              <w:t>/</w:t>
            </w:r>
            <w:r w:rsidR="001E19E6" w:rsidRPr="001E19E6">
              <w:rPr>
                <w:b/>
              </w:rPr>
              <w:t>27</w:t>
            </w:r>
            <w:r w:rsidRPr="001E19E6">
              <w:rPr>
                <w:b/>
              </w:rPr>
              <w:t>/20</w:t>
            </w:r>
            <w:r w:rsidR="00731378" w:rsidRPr="001E19E6">
              <w:rPr>
                <w:b/>
              </w:rPr>
              <w:t>21</w:t>
            </w:r>
          </w:p>
        </w:tc>
        <w:tc>
          <w:tcPr>
            <w:tcW w:w="6448" w:type="dxa"/>
            <w:gridSpan w:val="2"/>
            <w:tcBorders>
              <w:left w:val="single" w:sz="4" w:space="0" w:color="auto"/>
            </w:tcBorders>
          </w:tcPr>
          <w:p w14:paraId="277081EB" w14:textId="77777777" w:rsidR="00E312BD" w:rsidRPr="00490115" w:rsidRDefault="00E312BD" w:rsidP="00E312BD">
            <w:pPr>
              <w:rPr>
                <w:sz w:val="12"/>
                <w:szCs w:val="12"/>
              </w:rPr>
            </w:pPr>
          </w:p>
          <w:p w14:paraId="2234E7C5" w14:textId="77777777" w:rsidR="00E312BD" w:rsidRPr="00490115" w:rsidRDefault="00E312BD" w:rsidP="00E312BD">
            <w:pPr>
              <w:rPr>
                <w:sz w:val="12"/>
                <w:szCs w:val="12"/>
              </w:rPr>
            </w:pPr>
          </w:p>
          <w:p w14:paraId="62AC2A69" w14:textId="77777777" w:rsidR="00E312BD" w:rsidRDefault="00E312BD" w:rsidP="00E312BD">
            <w:pPr>
              <w:rPr>
                <w:b/>
              </w:rPr>
            </w:pPr>
            <w:r w:rsidRPr="00102B7D">
              <w:rPr>
                <w:b/>
              </w:rPr>
              <w:t>Submitted by:</w:t>
            </w:r>
            <w:r>
              <w:rPr>
                <w:b/>
              </w:rPr>
              <w:t xml:space="preserve"> Candy Hill</w:t>
            </w:r>
          </w:p>
          <w:p w14:paraId="01E3E0AE" w14:textId="77777777" w:rsidR="00E312BD" w:rsidRPr="002A44E2" w:rsidRDefault="00E312BD" w:rsidP="00E312BD">
            <w:pPr>
              <w:rPr>
                <w:b/>
                <w:sz w:val="8"/>
                <w:szCs w:val="8"/>
              </w:rPr>
            </w:pPr>
          </w:p>
        </w:tc>
      </w:tr>
    </w:tbl>
    <w:p w14:paraId="111A290E"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D20C0"/>
    <w:multiLevelType w:val="hybridMultilevel"/>
    <w:tmpl w:val="D50AA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8336E"/>
    <w:multiLevelType w:val="hybridMultilevel"/>
    <w:tmpl w:val="B324D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936C5C"/>
    <w:multiLevelType w:val="hybridMultilevel"/>
    <w:tmpl w:val="3C1C80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013DBC"/>
    <w:rsid w:val="00032136"/>
    <w:rsid w:val="0004096C"/>
    <w:rsid w:val="000633D2"/>
    <w:rsid w:val="000E6151"/>
    <w:rsid w:val="00166A43"/>
    <w:rsid w:val="001C24E3"/>
    <w:rsid w:val="001C6D5E"/>
    <w:rsid w:val="001E19E6"/>
    <w:rsid w:val="0022355A"/>
    <w:rsid w:val="0025289D"/>
    <w:rsid w:val="002A496D"/>
    <w:rsid w:val="002C4FA3"/>
    <w:rsid w:val="002F4F69"/>
    <w:rsid w:val="003363D0"/>
    <w:rsid w:val="00353698"/>
    <w:rsid w:val="00364FC7"/>
    <w:rsid w:val="0037246F"/>
    <w:rsid w:val="003C347E"/>
    <w:rsid w:val="00402EA6"/>
    <w:rsid w:val="00411BD2"/>
    <w:rsid w:val="004364B8"/>
    <w:rsid w:val="004C7EB5"/>
    <w:rsid w:val="0057736B"/>
    <w:rsid w:val="005D6D4B"/>
    <w:rsid w:val="006324AB"/>
    <w:rsid w:val="00662BE6"/>
    <w:rsid w:val="00662CDC"/>
    <w:rsid w:val="006651EA"/>
    <w:rsid w:val="006C688F"/>
    <w:rsid w:val="006F377D"/>
    <w:rsid w:val="00731378"/>
    <w:rsid w:val="00790B88"/>
    <w:rsid w:val="007A3107"/>
    <w:rsid w:val="008611BD"/>
    <w:rsid w:val="008978B3"/>
    <w:rsid w:val="00931BFA"/>
    <w:rsid w:val="009567C0"/>
    <w:rsid w:val="00991B8F"/>
    <w:rsid w:val="009A5BCA"/>
    <w:rsid w:val="009A7CAB"/>
    <w:rsid w:val="00B5475D"/>
    <w:rsid w:val="00B74B27"/>
    <w:rsid w:val="00BF5F96"/>
    <w:rsid w:val="00C44F74"/>
    <w:rsid w:val="00C4530D"/>
    <w:rsid w:val="00C643DE"/>
    <w:rsid w:val="00C72669"/>
    <w:rsid w:val="00C83132"/>
    <w:rsid w:val="00CB6AA7"/>
    <w:rsid w:val="00D14F1B"/>
    <w:rsid w:val="00D24A77"/>
    <w:rsid w:val="00D578D6"/>
    <w:rsid w:val="00D94E0C"/>
    <w:rsid w:val="00DA113C"/>
    <w:rsid w:val="00DD55D0"/>
    <w:rsid w:val="00DF13AF"/>
    <w:rsid w:val="00E312BD"/>
    <w:rsid w:val="00E51C83"/>
    <w:rsid w:val="00EE4675"/>
    <w:rsid w:val="00F26A57"/>
    <w:rsid w:val="00FA5D03"/>
    <w:rsid w:val="00FD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00BB"/>
  <w15:docId w15:val="{3BCB8467-C898-459C-91DA-C7F3B2CD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customStyle="1" w:styleId="Default">
    <w:name w:val="Default"/>
    <w:rsid w:val="001C6D5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DA113C"/>
    <w:pPr>
      <w:tabs>
        <w:tab w:val="center" w:pos="4680"/>
        <w:tab w:val="right" w:pos="9360"/>
      </w:tabs>
      <w:spacing w:after="0" w:line="240" w:lineRule="auto"/>
    </w:pPr>
  </w:style>
  <w:style w:type="character" w:customStyle="1" w:styleId="HeaderChar">
    <w:name w:val="Header Char"/>
    <w:basedOn w:val="DefaultParagraphFont"/>
    <w:link w:val="Header"/>
    <w:rsid w:val="00DA113C"/>
  </w:style>
  <w:style w:type="paragraph" w:styleId="ListParagraph">
    <w:name w:val="List Paragraph"/>
    <w:basedOn w:val="Normal"/>
    <w:uiPriority w:val="34"/>
    <w:qFormat/>
    <w:rsid w:val="00790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47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2019-08-20T18:01:00Z</cp:lastPrinted>
  <dcterms:created xsi:type="dcterms:W3CDTF">2021-08-27T18:53:00Z</dcterms:created>
  <dcterms:modified xsi:type="dcterms:W3CDTF">2021-08-27T18:53:00Z</dcterms:modified>
</cp:coreProperties>
</file>