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13ADE0EE" w14:textId="77777777" w:rsidR="00F26A57" w:rsidRDefault="00F26A57" w:rsidP="007B0814">
            <w:pPr>
              <w:rPr>
                <w:b/>
                <w:sz w:val="24"/>
                <w:szCs w:val="24"/>
              </w:rPr>
            </w:pPr>
          </w:p>
          <w:p w14:paraId="1E1551A7" w14:textId="77777777" w:rsidR="000907D0" w:rsidRDefault="000907D0" w:rsidP="007B0814">
            <w:pPr>
              <w:rPr>
                <w:b/>
                <w:sz w:val="24"/>
                <w:szCs w:val="24"/>
              </w:rPr>
            </w:pPr>
          </w:p>
          <w:p w14:paraId="77D1386B" w14:textId="7B94FF5B" w:rsidR="00C8567B" w:rsidRPr="00B81C69" w:rsidRDefault="00C8567B" w:rsidP="007B0814">
            <w:pPr>
              <w:rPr>
                <w:b/>
                <w:sz w:val="24"/>
                <w:szCs w:val="24"/>
              </w:rPr>
            </w:pPr>
            <w:r>
              <w:rPr>
                <w:b/>
                <w:sz w:val="24"/>
                <w:szCs w:val="24"/>
              </w:rPr>
              <w:t>Office of Community Outreach</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439FD013" w:rsidR="00E70C73" w:rsidRPr="00B81C69" w:rsidRDefault="00E70C73" w:rsidP="007B0814">
            <w:pPr>
              <w:rPr>
                <w:b/>
                <w:sz w:val="24"/>
                <w:szCs w:val="24"/>
              </w:rPr>
            </w:pPr>
            <w:r>
              <w:rPr>
                <w:b/>
                <w:sz w:val="24"/>
                <w:szCs w:val="24"/>
              </w:rPr>
              <w:t>20</w:t>
            </w:r>
            <w:r w:rsidR="00B97BAE">
              <w:rPr>
                <w:b/>
                <w:sz w:val="24"/>
                <w:szCs w:val="24"/>
              </w:rPr>
              <w:t>2</w:t>
            </w:r>
            <w:r w:rsidR="00F85432">
              <w:rPr>
                <w:b/>
                <w:sz w:val="24"/>
                <w:szCs w:val="24"/>
              </w:rPr>
              <w:t>0</w:t>
            </w:r>
            <w:r>
              <w:rPr>
                <w:b/>
                <w:sz w:val="24"/>
                <w:szCs w:val="24"/>
              </w:rPr>
              <w:t>-202</w:t>
            </w:r>
            <w:r w:rsidR="00B97BAE">
              <w:rPr>
                <w:b/>
                <w:sz w:val="24"/>
                <w:szCs w:val="24"/>
              </w:rPr>
              <w:t>1</w:t>
            </w:r>
          </w:p>
        </w:tc>
      </w:tr>
    </w:tbl>
    <w:p w14:paraId="6B621BF9" w14:textId="77777777" w:rsidR="004C7EB5" w:rsidRDefault="004C7EB5"/>
    <w:tbl>
      <w:tblPr>
        <w:tblStyle w:val="TableGrid"/>
        <w:tblW w:w="1413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57"/>
        <w:gridCol w:w="3267"/>
        <w:gridCol w:w="3215"/>
        <w:gridCol w:w="3691"/>
      </w:tblGrid>
      <w:tr w:rsidR="00F26A57" w:rsidRPr="00D554AC" w14:paraId="52B73C98" w14:textId="77777777" w:rsidTr="000C778A">
        <w:tc>
          <w:tcPr>
            <w:tcW w:w="14130"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3163DB">
        <w:trPr>
          <w:trHeight w:val="696"/>
        </w:trPr>
        <w:tc>
          <w:tcPr>
            <w:tcW w:w="3957"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67"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15"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691" w:type="dxa"/>
            <w:tcBorders>
              <w:left w:val="single" w:sz="6" w:space="0" w:color="auto"/>
              <w:bottom w:val="thinThickSmallGap" w:sz="12" w:space="0" w:color="auto"/>
            </w:tcBorders>
          </w:tcPr>
          <w:p w14:paraId="6A4CDBDE" w14:textId="2D4FCBAE" w:rsidR="00F26A57" w:rsidRPr="00D554AC" w:rsidRDefault="00F26A57" w:rsidP="007B0814">
            <w:pPr>
              <w:jc w:val="center"/>
              <w:rPr>
                <w:b/>
                <w:sz w:val="24"/>
                <w:szCs w:val="24"/>
              </w:rPr>
            </w:pPr>
            <w:r>
              <w:rPr>
                <w:b/>
                <w:sz w:val="24"/>
                <w:szCs w:val="24"/>
              </w:rPr>
              <w:t xml:space="preserve">Strategies Implemented </w:t>
            </w:r>
            <w:r w:rsidR="005E6164">
              <w:rPr>
                <w:b/>
                <w:sz w:val="24"/>
                <w:szCs w:val="24"/>
              </w:rPr>
              <w:t xml:space="preserve">and </w:t>
            </w:r>
            <w:r>
              <w:rPr>
                <w:b/>
                <w:sz w:val="24"/>
                <w:szCs w:val="24"/>
              </w:rPr>
              <w:t>Follow-up</w:t>
            </w:r>
          </w:p>
        </w:tc>
      </w:tr>
      <w:tr w:rsidR="009E2B05" w:rsidRPr="00D554AC" w14:paraId="2FA8657B" w14:textId="77777777" w:rsidTr="009664E7">
        <w:trPr>
          <w:trHeight w:val="696"/>
        </w:trPr>
        <w:tc>
          <w:tcPr>
            <w:tcW w:w="3957" w:type="dxa"/>
            <w:tcBorders>
              <w:left w:val="single" w:sz="6" w:space="0" w:color="auto"/>
              <w:bottom w:val="single" w:sz="4" w:space="0" w:color="auto"/>
              <w:right w:val="single" w:sz="6" w:space="0" w:color="auto"/>
            </w:tcBorders>
          </w:tcPr>
          <w:p w14:paraId="61345461" w14:textId="4DC385A9" w:rsidR="009E2B05" w:rsidRPr="00490115" w:rsidRDefault="009E2B05" w:rsidP="009E2B05">
            <w:pPr>
              <w:rPr>
                <w:b/>
                <w:sz w:val="16"/>
                <w:szCs w:val="16"/>
              </w:rPr>
            </w:pPr>
            <w:r w:rsidRPr="00FF6ABE">
              <w:rPr>
                <w:b/>
              </w:rPr>
              <w:t xml:space="preserve">Enhance </w:t>
            </w:r>
            <w:r>
              <w:rPr>
                <w:b/>
              </w:rPr>
              <w:t>capacity of the Office of Community Outreach to provide major support to the JSCC Foundation</w:t>
            </w:r>
            <w:r w:rsidRPr="00FF6ABE">
              <w:rPr>
                <w:b/>
              </w:rPr>
              <w:t xml:space="preserve"> </w:t>
            </w:r>
            <w:r>
              <w:rPr>
                <w:b/>
              </w:rPr>
              <w:t xml:space="preserve">to foster mutually beneficial partnerships with educational, business, and civic leaders which position the college as an economic development resource </w:t>
            </w:r>
            <w:r w:rsidRPr="00D4773D">
              <w:t xml:space="preserve"> </w:t>
            </w:r>
          </w:p>
        </w:tc>
        <w:tc>
          <w:tcPr>
            <w:tcW w:w="3267" w:type="dxa"/>
            <w:tcBorders>
              <w:left w:val="single" w:sz="6" w:space="0" w:color="auto"/>
              <w:bottom w:val="single" w:sz="4" w:space="0" w:color="auto"/>
              <w:right w:val="single" w:sz="4" w:space="0" w:color="auto"/>
            </w:tcBorders>
          </w:tcPr>
          <w:p w14:paraId="2F95E97A" w14:textId="22FAF3A2" w:rsidR="009E2B05" w:rsidRPr="00415B96" w:rsidRDefault="009E2B05" w:rsidP="009E2B05">
            <w:pPr>
              <w:rPr>
                <w:b/>
                <w:sz w:val="24"/>
                <w:szCs w:val="24"/>
              </w:rPr>
            </w:pPr>
            <w:r w:rsidRPr="00415B96">
              <w:rPr>
                <w:b/>
              </w:rPr>
              <w:t>Additional funding may be needed depending upon the extent of activities and expanded involvements.</w:t>
            </w:r>
          </w:p>
        </w:tc>
        <w:tc>
          <w:tcPr>
            <w:tcW w:w="3215" w:type="dxa"/>
            <w:tcBorders>
              <w:left w:val="single" w:sz="4" w:space="0" w:color="auto"/>
              <w:bottom w:val="single" w:sz="4" w:space="0" w:color="auto"/>
              <w:right w:val="single" w:sz="6" w:space="0" w:color="auto"/>
            </w:tcBorders>
          </w:tcPr>
          <w:p w14:paraId="252AB7CD" w14:textId="16203E15" w:rsidR="009E2B05" w:rsidRPr="00415B96" w:rsidRDefault="009E2B05" w:rsidP="009E2B05">
            <w:pPr>
              <w:rPr>
                <w:b/>
                <w:sz w:val="16"/>
                <w:szCs w:val="16"/>
              </w:rPr>
            </w:pPr>
            <w:r w:rsidRPr="00415B96">
              <w:rPr>
                <w:b/>
              </w:rPr>
              <w:t>Staff has and continues to develop a strong working partnership with consultants hired by the JSCC Foundation. The unit continues to expand and enhance external relationships from a developmental standpoint.</w:t>
            </w:r>
          </w:p>
        </w:tc>
        <w:tc>
          <w:tcPr>
            <w:tcW w:w="3691" w:type="dxa"/>
            <w:tcBorders>
              <w:left w:val="single" w:sz="6" w:space="0" w:color="auto"/>
              <w:bottom w:val="single" w:sz="4" w:space="0" w:color="auto"/>
            </w:tcBorders>
          </w:tcPr>
          <w:p w14:paraId="72D9FC13" w14:textId="11340E7C" w:rsidR="009E2B05" w:rsidRPr="00415B96" w:rsidRDefault="00554204" w:rsidP="00554204">
            <w:pPr>
              <w:rPr>
                <w:b/>
                <w:sz w:val="24"/>
                <w:szCs w:val="24"/>
              </w:rPr>
            </w:pPr>
            <w:r w:rsidRPr="00415B96">
              <w:rPr>
                <w:b/>
              </w:rPr>
              <w:t xml:space="preserve">The unit will remain focused on cultivating relationships with governmental, business, and civic leaders to advance the college’s economic development footprint throughout the region. </w:t>
            </w:r>
            <w:r w:rsidR="008B5118">
              <w:rPr>
                <w:b/>
              </w:rPr>
              <w:t xml:space="preserve">Representatives from the unit serve on multiple boards and </w:t>
            </w:r>
            <w:r w:rsidR="00CB3B28">
              <w:rPr>
                <w:b/>
              </w:rPr>
              <w:t>partner with area organizations with</w:t>
            </w:r>
            <w:r w:rsidRPr="00415B96">
              <w:rPr>
                <w:b/>
              </w:rPr>
              <w:t xml:space="preserve"> </w:t>
            </w:r>
            <w:r w:rsidR="00CB3B28">
              <w:rPr>
                <w:b/>
              </w:rPr>
              <w:t>the</w:t>
            </w:r>
            <w:r w:rsidRPr="00415B96">
              <w:rPr>
                <w:b/>
              </w:rPr>
              <w:t xml:space="preserve"> primary goal of fostering stronger relationships around economic </w:t>
            </w:r>
            <w:r w:rsidR="002C6D7D">
              <w:rPr>
                <w:b/>
              </w:rPr>
              <w:t xml:space="preserve">and community </w:t>
            </w:r>
            <w:r w:rsidRPr="00415B96">
              <w:rPr>
                <w:b/>
              </w:rPr>
              <w:t>development.</w:t>
            </w:r>
          </w:p>
        </w:tc>
      </w:tr>
      <w:tr w:rsidR="00554204" w:rsidRPr="00D554AC" w14:paraId="56E9C26E" w14:textId="77777777" w:rsidTr="009664E7">
        <w:trPr>
          <w:trHeight w:val="696"/>
        </w:trPr>
        <w:tc>
          <w:tcPr>
            <w:tcW w:w="3957" w:type="dxa"/>
            <w:tcBorders>
              <w:top w:val="single" w:sz="4" w:space="0" w:color="auto"/>
              <w:left w:val="single" w:sz="6" w:space="0" w:color="auto"/>
              <w:bottom w:val="single" w:sz="4" w:space="0" w:color="auto"/>
              <w:right w:val="single" w:sz="6" w:space="0" w:color="auto"/>
            </w:tcBorders>
          </w:tcPr>
          <w:p w14:paraId="028EAF50" w14:textId="77777777" w:rsidR="00A146ED" w:rsidRDefault="00A146ED" w:rsidP="00A146ED">
            <w:r w:rsidRPr="00D4773D">
              <w:rPr>
                <w:b/>
              </w:rPr>
              <w:t xml:space="preserve">Enhance overall outreach </w:t>
            </w:r>
            <w:r>
              <w:rPr>
                <w:b/>
              </w:rPr>
              <w:t xml:space="preserve">via </w:t>
            </w:r>
            <w:r w:rsidRPr="00D4773D">
              <w:rPr>
                <w:b/>
              </w:rPr>
              <w:t xml:space="preserve">community partnerships and placements </w:t>
            </w:r>
            <w:r>
              <w:rPr>
                <w:b/>
              </w:rPr>
              <w:t>which</w:t>
            </w:r>
            <w:r w:rsidRPr="00D4773D">
              <w:rPr>
                <w:b/>
              </w:rPr>
              <w:t xml:space="preserve"> increase </w:t>
            </w:r>
            <w:r>
              <w:rPr>
                <w:b/>
              </w:rPr>
              <w:t>opportunities for</w:t>
            </w:r>
            <w:r w:rsidRPr="00D4773D">
              <w:rPr>
                <w:b/>
              </w:rPr>
              <w:t xml:space="preserve"> diversity and inclusion activities and service opportunities for employees </w:t>
            </w:r>
            <w:r w:rsidRPr="00D4773D">
              <w:t xml:space="preserve"> </w:t>
            </w:r>
          </w:p>
          <w:p w14:paraId="0B699D6A" w14:textId="77777777" w:rsidR="00554204" w:rsidRPr="00FF6ABE" w:rsidRDefault="00554204" w:rsidP="009E2B05">
            <w:pPr>
              <w:rPr>
                <w:b/>
              </w:rPr>
            </w:pPr>
          </w:p>
        </w:tc>
        <w:tc>
          <w:tcPr>
            <w:tcW w:w="3267" w:type="dxa"/>
            <w:tcBorders>
              <w:top w:val="single" w:sz="4" w:space="0" w:color="auto"/>
              <w:left w:val="single" w:sz="6" w:space="0" w:color="auto"/>
              <w:bottom w:val="single" w:sz="4" w:space="0" w:color="auto"/>
              <w:right w:val="single" w:sz="4" w:space="0" w:color="auto"/>
            </w:tcBorders>
          </w:tcPr>
          <w:p w14:paraId="6DC8A37A" w14:textId="74566807" w:rsidR="00554204" w:rsidRPr="00E16B3F" w:rsidRDefault="00630C4F" w:rsidP="009E2B05">
            <w:pPr>
              <w:rPr>
                <w:b/>
                <w:highlight w:val="yellow"/>
              </w:rPr>
            </w:pPr>
            <w:r w:rsidRPr="00AB3AFC">
              <w:rPr>
                <w:b/>
                <w:bCs/>
              </w:rPr>
              <w:t xml:space="preserve">Additional funding may be needed contingent upon the </w:t>
            </w:r>
            <w:r>
              <w:rPr>
                <w:b/>
                <w:bCs/>
              </w:rPr>
              <w:t>activities to be pursued.</w:t>
            </w:r>
          </w:p>
        </w:tc>
        <w:tc>
          <w:tcPr>
            <w:tcW w:w="3215" w:type="dxa"/>
            <w:tcBorders>
              <w:top w:val="single" w:sz="4" w:space="0" w:color="auto"/>
              <w:left w:val="single" w:sz="4" w:space="0" w:color="auto"/>
              <w:bottom w:val="single" w:sz="4" w:space="0" w:color="auto"/>
              <w:right w:val="single" w:sz="6" w:space="0" w:color="auto"/>
            </w:tcBorders>
          </w:tcPr>
          <w:p w14:paraId="45347376" w14:textId="232A7934" w:rsidR="00554204" w:rsidRPr="00E16B3F" w:rsidRDefault="00C11EBC" w:rsidP="009E2B05">
            <w:pPr>
              <w:rPr>
                <w:b/>
                <w:highlight w:val="yellow"/>
              </w:rPr>
            </w:pPr>
            <w:r>
              <w:rPr>
                <w:b/>
              </w:rPr>
              <w:t>Staff of the unit dedicated time and resources to assisting in the coordination and delivery of college projects across the service area including</w:t>
            </w:r>
            <w:r w:rsidR="00711D52">
              <w:rPr>
                <w:b/>
              </w:rPr>
              <w:t xml:space="preserve"> the</w:t>
            </w:r>
            <w:r w:rsidR="00EA0524">
              <w:rPr>
                <w:b/>
              </w:rPr>
              <w:t xml:space="preserve"> </w:t>
            </w:r>
            <w:r w:rsidR="00F90337">
              <w:rPr>
                <w:b/>
              </w:rPr>
              <w:t>7</w:t>
            </w:r>
            <w:r w:rsidR="00F90337" w:rsidRPr="00F90337">
              <w:rPr>
                <w:b/>
                <w:vertAlign w:val="superscript"/>
              </w:rPr>
              <w:t>th</w:t>
            </w:r>
            <w:r w:rsidR="00F90337">
              <w:rPr>
                <w:b/>
              </w:rPr>
              <w:t xml:space="preserve"> year of </w:t>
            </w:r>
            <w:r w:rsidR="00711D52">
              <w:rPr>
                <w:b/>
              </w:rPr>
              <w:t>Big Brothers Big Sisters Beyond the Walls</w:t>
            </w:r>
            <w:r w:rsidR="00540A55">
              <w:rPr>
                <w:b/>
              </w:rPr>
              <w:t xml:space="preserve"> Mentorship</w:t>
            </w:r>
            <w:r w:rsidR="00CE0EEB">
              <w:rPr>
                <w:b/>
              </w:rPr>
              <w:t xml:space="preserve"> program</w:t>
            </w:r>
            <w:r w:rsidR="00711D52">
              <w:rPr>
                <w:b/>
              </w:rPr>
              <w:t xml:space="preserve">, </w:t>
            </w:r>
            <w:r w:rsidR="00EA0524">
              <w:rPr>
                <w:b/>
              </w:rPr>
              <w:t>AL PALS Spring</w:t>
            </w:r>
            <w:r>
              <w:rPr>
                <w:b/>
              </w:rPr>
              <w:t xml:space="preserve"> Clean</w:t>
            </w:r>
            <w:r w:rsidR="00210ED3">
              <w:rPr>
                <w:b/>
              </w:rPr>
              <w:t xml:space="preserve"> U</w:t>
            </w:r>
            <w:r w:rsidR="00EA0524">
              <w:rPr>
                <w:b/>
              </w:rPr>
              <w:t>p</w:t>
            </w:r>
            <w:r>
              <w:rPr>
                <w:b/>
              </w:rPr>
              <w:t xml:space="preserve">, and the </w:t>
            </w:r>
            <w:r w:rsidR="00EA0524">
              <w:rPr>
                <w:b/>
              </w:rPr>
              <w:t>2</w:t>
            </w:r>
            <w:r w:rsidR="00EA0524" w:rsidRPr="00EA0524">
              <w:rPr>
                <w:b/>
                <w:vertAlign w:val="superscript"/>
              </w:rPr>
              <w:t>nd</w:t>
            </w:r>
            <w:r w:rsidR="00EA0524">
              <w:rPr>
                <w:b/>
              </w:rPr>
              <w:t xml:space="preserve"> Annual </w:t>
            </w:r>
            <w:r>
              <w:rPr>
                <w:b/>
              </w:rPr>
              <w:t>LGBTQ Allyship Conference.</w:t>
            </w:r>
          </w:p>
        </w:tc>
        <w:tc>
          <w:tcPr>
            <w:tcW w:w="3691" w:type="dxa"/>
            <w:tcBorders>
              <w:top w:val="single" w:sz="4" w:space="0" w:color="auto"/>
              <w:left w:val="single" w:sz="6" w:space="0" w:color="auto"/>
              <w:bottom w:val="single" w:sz="4" w:space="0" w:color="auto"/>
            </w:tcBorders>
          </w:tcPr>
          <w:p w14:paraId="083E3E54" w14:textId="4A7AA431" w:rsidR="00554204" w:rsidRPr="00E16B3F" w:rsidRDefault="00526BB2" w:rsidP="00554204">
            <w:pPr>
              <w:rPr>
                <w:b/>
                <w:highlight w:val="yellow"/>
              </w:rPr>
            </w:pPr>
            <w:r>
              <w:rPr>
                <w:b/>
              </w:rPr>
              <w:t xml:space="preserve">The unit </w:t>
            </w:r>
            <w:r w:rsidR="00C038FE">
              <w:rPr>
                <w:b/>
              </w:rPr>
              <w:t>plan</w:t>
            </w:r>
            <w:r>
              <w:rPr>
                <w:b/>
              </w:rPr>
              <w:t xml:space="preserve">s to explore service opportunities for employees including the </w:t>
            </w:r>
            <w:r w:rsidRPr="005D2848">
              <w:rPr>
                <w:b/>
              </w:rPr>
              <w:t xml:space="preserve">establishment of “safe places” across the college and </w:t>
            </w:r>
            <w:r>
              <w:rPr>
                <w:b/>
              </w:rPr>
              <w:t xml:space="preserve">more employee </w:t>
            </w:r>
            <w:r w:rsidRPr="005D2848">
              <w:rPr>
                <w:b/>
              </w:rPr>
              <w:t>train</w:t>
            </w:r>
            <w:r>
              <w:rPr>
                <w:b/>
              </w:rPr>
              <w:t>ing</w:t>
            </w:r>
            <w:r w:rsidRPr="005D2848">
              <w:rPr>
                <w:b/>
              </w:rPr>
              <w:t xml:space="preserve"> in diversity and inclusion</w:t>
            </w:r>
            <w:r>
              <w:rPr>
                <w:b/>
              </w:rPr>
              <w:t>.</w:t>
            </w:r>
          </w:p>
        </w:tc>
      </w:tr>
      <w:tr w:rsidR="009E2B05" w14:paraId="1B914A8E" w14:textId="77777777" w:rsidTr="009664E7">
        <w:trPr>
          <w:trHeight w:val="54"/>
        </w:trPr>
        <w:tc>
          <w:tcPr>
            <w:tcW w:w="3957" w:type="dxa"/>
            <w:tcBorders>
              <w:top w:val="single" w:sz="4" w:space="0" w:color="auto"/>
              <w:right w:val="single" w:sz="6" w:space="0" w:color="auto"/>
            </w:tcBorders>
          </w:tcPr>
          <w:p w14:paraId="6A019EA3" w14:textId="0848D100" w:rsidR="009E2B05" w:rsidRPr="00CD7F3C" w:rsidRDefault="009E2B05" w:rsidP="009E2B05">
            <w:pPr>
              <w:rPr>
                <w:b/>
              </w:rPr>
            </w:pPr>
            <w:r w:rsidRPr="00F04500">
              <w:rPr>
                <w:b/>
              </w:rPr>
              <w:lastRenderedPageBreak/>
              <w:t xml:space="preserve">Assess and structure the unit in order to operate and effectively build and maintain philanthropic relationships  </w:t>
            </w:r>
          </w:p>
        </w:tc>
        <w:tc>
          <w:tcPr>
            <w:tcW w:w="3267" w:type="dxa"/>
            <w:tcBorders>
              <w:top w:val="single" w:sz="4" w:space="0" w:color="auto"/>
              <w:left w:val="single" w:sz="6" w:space="0" w:color="auto"/>
              <w:right w:val="single" w:sz="4" w:space="0" w:color="auto"/>
            </w:tcBorders>
          </w:tcPr>
          <w:p w14:paraId="5B2FCFAB" w14:textId="0E34B2DA" w:rsidR="009E2B05" w:rsidRDefault="009E2B05" w:rsidP="009E2B05">
            <w:r>
              <w:rPr>
                <w:b/>
              </w:rPr>
              <w:t>Additional funding may be required but costs are undetermined at this time.</w:t>
            </w:r>
          </w:p>
        </w:tc>
        <w:tc>
          <w:tcPr>
            <w:tcW w:w="3215" w:type="dxa"/>
            <w:tcBorders>
              <w:top w:val="single" w:sz="4" w:space="0" w:color="auto"/>
              <w:left w:val="single" w:sz="4" w:space="0" w:color="auto"/>
              <w:right w:val="single" w:sz="6" w:space="0" w:color="auto"/>
            </w:tcBorders>
          </w:tcPr>
          <w:p w14:paraId="543EC802" w14:textId="0C5C6D45" w:rsidR="009E2B05" w:rsidRDefault="009E2B05" w:rsidP="009E2B05">
            <w:r>
              <w:rPr>
                <w:b/>
              </w:rPr>
              <w:t>This goal has been the focus of much of the unit’s work over the past year. Coordination to support the Foundation’s capital campaign for the college has been extensive including research of organizations and individuals, preparation of materials and documents, and in-depth staff training on donor resource management software. Team members have spent considerable time learning th</w:t>
            </w:r>
            <w:r w:rsidR="000A3CA2">
              <w:rPr>
                <w:b/>
              </w:rPr>
              <w:t>is</w:t>
            </w:r>
            <w:r>
              <w:rPr>
                <w:b/>
              </w:rPr>
              <w:t xml:space="preserve"> s</w:t>
            </w:r>
            <w:r w:rsidR="000A3CA2">
              <w:rPr>
                <w:b/>
              </w:rPr>
              <w:t>oftware</w:t>
            </w:r>
            <w:r>
              <w:rPr>
                <w:b/>
              </w:rPr>
              <w:t xml:space="preserve"> and laying the groundwork for an institutional development office which will serve the college well beyond the current capital campaign. A new team member will be brought on board which should increase the efficiency of the task</w:t>
            </w:r>
            <w:r w:rsidR="00FF17A5">
              <w:rPr>
                <w:b/>
              </w:rPr>
              <w:t>s</w:t>
            </w:r>
            <w:r>
              <w:rPr>
                <w:b/>
              </w:rPr>
              <w:t xml:space="preserve"> and responsibilities for development efforts. </w:t>
            </w:r>
          </w:p>
        </w:tc>
        <w:tc>
          <w:tcPr>
            <w:tcW w:w="3691" w:type="dxa"/>
            <w:tcBorders>
              <w:top w:val="single" w:sz="4" w:space="0" w:color="auto"/>
              <w:left w:val="single" w:sz="6" w:space="0" w:color="auto"/>
            </w:tcBorders>
          </w:tcPr>
          <w:p w14:paraId="078BDC5B" w14:textId="103B06EF" w:rsidR="009E2B05" w:rsidRDefault="009E2B05" w:rsidP="009E2B05">
            <w:r>
              <w:rPr>
                <w:b/>
              </w:rPr>
              <w:t>The unit is collaborating with college departments including Institutional Research, Information Technology, and Media Relations to expand philanthropic efforts and move towards a sustainable donor management program. The unit has engaged college employees as ambassadors and key capital campaign supporters. Contact and communication by the unit with external affinity groups continues to increase.</w:t>
            </w:r>
          </w:p>
        </w:tc>
      </w:tr>
      <w:tr w:rsidR="009E2B05" w:rsidRPr="002A44E2" w14:paraId="16830BC7" w14:textId="77777777" w:rsidTr="000C778A">
        <w:tc>
          <w:tcPr>
            <w:tcW w:w="7224" w:type="dxa"/>
            <w:gridSpan w:val="2"/>
            <w:tcBorders>
              <w:right w:val="single" w:sz="4" w:space="0" w:color="auto"/>
            </w:tcBorders>
          </w:tcPr>
          <w:p w14:paraId="4296E15C" w14:textId="77777777" w:rsidR="009E2B05" w:rsidRPr="002A44E2" w:rsidRDefault="009E2B05" w:rsidP="009E2B05">
            <w:pPr>
              <w:rPr>
                <w:sz w:val="12"/>
                <w:szCs w:val="12"/>
              </w:rPr>
            </w:pPr>
          </w:p>
          <w:p w14:paraId="31504F2E" w14:textId="77777777" w:rsidR="009E2B05" w:rsidRPr="002A44E2" w:rsidRDefault="009E2B05" w:rsidP="009E2B05">
            <w:pPr>
              <w:rPr>
                <w:b/>
                <w:sz w:val="12"/>
                <w:szCs w:val="12"/>
              </w:rPr>
            </w:pPr>
          </w:p>
          <w:p w14:paraId="70FA597F" w14:textId="4506FAE1" w:rsidR="009E2B05" w:rsidRDefault="009E2B05" w:rsidP="009E2B05">
            <w:r>
              <w:rPr>
                <w:b/>
              </w:rPr>
              <w:t>S</w:t>
            </w:r>
            <w:r w:rsidRPr="00D554AC">
              <w:rPr>
                <w:b/>
              </w:rPr>
              <w:t>ubmission date:</w:t>
            </w:r>
            <w:r>
              <w:rPr>
                <w:b/>
              </w:rPr>
              <w:t xml:space="preserve">  August </w:t>
            </w:r>
            <w:r w:rsidR="00A17338">
              <w:rPr>
                <w:b/>
              </w:rPr>
              <w:t>25</w:t>
            </w:r>
            <w:r>
              <w:rPr>
                <w:b/>
              </w:rPr>
              <w:t>, 202</w:t>
            </w:r>
            <w:r w:rsidR="00CD012A">
              <w:rPr>
                <w:b/>
              </w:rPr>
              <w:t>1</w:t>
            </w:r>
          </w:p>
        </w:tc>
        <w:tc>
          <w:tcPr>
            <w:tcW w:w="6906" w:type="dxa"/>
            <w:gridSpan w:val="2"/>
            <w:tcBorders>
              <w:left w:val="single" w:sz="4" w:space="0" w:color="auto"/>
            </w:tcBorders>
          </w:tcPr>
          <w:p w14:paraId="4F484968" w14:textId="77777777" w:rsidR="009E2B05" w:rsidRPr="00490115" w:rsidRDefault="009E2B05" w:rsidP="009E2B05">
            <w:pPr>
              <w:rPr>
                <w:sz w:val="12"/>
                <w:szCs w:val="12"/>
              </w:rPr>
            </w:pPr>
          </w:p>
          <w:p w14:paraId="233506C1" w14:textId="77777777" w:rsidR="009E2B05" w:rsidRPr="00490115" w:rsidRDefault="009E2B05" w:rsidP="009E2B05">
            <w:pPr>
              <w:rPr>
                <w:sz w:val="12"/>
                <w:szCs w:val="12"/>
              </w:rPr>
            </w:pPr>
          </w:p>
          <w:p w14:paraId="4450EA23" w14:textId="417777EB" w:rsidR="009E2B05" w:rsidRDefault="009E2B05" w:rsidP="009E2B05">
            <w:pPr>
              <w:rPr>
                <w:b/>
              </w:rPr>
            </w:pPr>
            <w:r w:rsidRPr="00102B7D">
              <w:rPr>
                <w:b/>
              </w:rPr>
              <w:t>Submitted by:</w:t>
            </w:r>
            <w:r>
              <w:rPr>
                <w:b/>
              </w:rPr>
              <w:t xml:space="preserve">   Guin Robinson</w:t>
            </w:r>
          </w:p>
          <w:p w14:paraId="6F331A40" w14:textId="77777777" w:rsidR="009E2B05" w:rsidRPr="002A44E2" w:rsidRDefault="009E2B05" w:rsidP="009E2B05">
            <w:pPr>
              <w:rPr>
                <w:b/>
                <w:sz w:val="8"/>
                <w:szCs w:val="8"/>
              </w:rPr>
            </w:pPr>
          </w:p>
        </w:tc>
      </w:tr>
    </w:tbl>
    <w:p w14:paraId="3C6794F4" w14:textId="77777777" w:rsidR="00F26A57" w:rsidRDefault="00F26A57"/>
    <w:sectPr w:rsidR="00F26A57" w:rsidSect="00A17338">
      <w:pgSz w:w="15840" w:h="12240" w:orient="landscape"/>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21BEE"/>
    <w:rsid w:val="00023579"/>
    <w:rsid w:val="00081DBF"/>
    <w:rsid w:val="000853FD"/>
    <w:rsid w:val="000907D0"/>
    <w:rsid w:val="000A3CA2"/>
    <w:rsid w:val="000C778A"/>
    <w:rsid w:val="000D148B"/>
    <w:rsid w:val="000E40B8"/>
    <w:rsid w:val="001061D8"/>
    <w:rsid w:val="00106BEE"/>
    <w:rsid w:val="00120FBD"/>
    <w:rsid w:val="0012385C"/>
    <w:rsid w:val="001376D4"/>
    <w:rsid w:val="001F3DDB"/>
    <w:rsid w:val="00210ED3"/>
    <w:rsid w:val="00215B52"/>
    <w:rsid w:val="00233D8D"/>
    <w:rsid w:val="002712B4"/>
    <w:rsid w:val="00272CA9"/>
    <w:rsid w:val="0029131F"/>
    <w:rsid w:val="00296EBC"/>
    <w:rsid w:val="002C322E"/>
    <w:rsid w:val="002C5124"/>
    <w:rsid w:val="002C6D7D"/>
    <w:rsid w:val="003163DB"/>
    <w:rsid w:val="0036066E"/>
    <w:rsid w:val="00361F4B"/>
    <w:rsid w:val="00370789"/>
    <w:rsid w:val="00380F9E"/>
    <w:rsid w:val="003B4BCB"/>
    <w:rsid w:val="003C669E"/>
    <w:rsid w:val="003D0975"/>
    <w:rsid w:val="00402049"/>
    <w:rsid w:val="0040384D"/>
    <w:rsid w:val="00404C1D"/>
    <w:rsid w:val="00415B96"/>
    <w:rsid w:val="00434800"/>
    <w:rsid w:val="00442F88"/>
    <w:rsid w:val="00452B79"/>
    <w:rsid w:val="004745D7"/>
    <w:rsid w:val="00483198"/>
    <w:rsid w:val="00485585"/>
    <w:rsid w:val="004C7EB5"/>
    <w:rsid w:val="004E1A16"/>
    <w:rsid w:val="004E3F55"/>
    <w:rsid w:val="0051577A"/>
    <w:rsid w:val="00520C21"/>
    <w:rsid w:val="00526BB2"/>
    <w:rsid w:val="00540A55"/>
    <w:rsid w:val="00554204"/>
    <w:rsid w:val="00573A8F"/>
    <w:rsid w:val="00592B05"/>
    <w:rsid w:val="0059444B"/>
    <w:rsid w:val="005B1247"/>
    <w:rsid w:val="005D2848"/>
    <w:rsid w:val="005E6164"/>
    <w:rsid w:val="00630C4F"/>
    <w:rsid w:val="00646910"/>
    <w:rsid w:val="00646DA9"/>
    <w:rsid w:val="00654B69"/>
    <w:rsid w:val="006744F5"/>
    <w:rsid w:val="00677808"/>
    <w:rsid w:val="006B6A75"/>
    <w:rsid w:val="006C3E8D"/>
    <w:rsid w:val="006F22D3"/>
    <w:rsid w:val="00711D52"/>
    <w:rsid w:val="00716257"/>
    <w:rsid w:val="007208CB"/>
    <w:rsid w:val="00721651"/>
    <w:rsid w:val="00747D0D"/>
    <w:rsid w:val="0075669D"/>
    <w:rsid w:val="0077723C"/>
    <w:rsid w:val="0077779B"/>
    <w:rsid w:val="007B7BD0"/>
    <w:rsid w:val="007C0168"/>
    <w:rsid w:val="007C4652"/>
    <w:rsid w:val="007F73F5"/>
    <w:rsid w:val="008004C0"/>
    <w:rsid w:val="00800B80"/>
    <w:rsid w:val="008031ED"/>
    <w:rsid w:val="00806108"/>
    <w:rsid w:val="00813180"/>
    <w:rsid w:val="008303F1"/>
    <w:rsid w:val="00842DAA"/>
    <w:rsid w:val="00873D90"/>
    <w:rsid w:val="008A3337"/>
    <w:rsid w:val="008B5118"/>
    <w:rsid w:val="0090145D"/>
    <w:rsid w:val="00935CBB"/>
    <w:rsid w:val="00950E14"/>
    <w:rsid w:val="009569D4"/>
    <w:rsid w:val="009664E7"/>
    <w:rsid w:val="009805BB"/>
    <w:rsid w:val="00986928"/>
    <w:rsid w:val="009917FA"/>
    <w:rsid w:val="009B3B48"/>
    <w:rsid w:val="009B5A6F"/>
    <w:rsid w:val="009D2B07"/>
    <w:rsid w:val="009E2B05"/>
    <w:rsid w:val="009F6879"/>
    <w:rsid w:val="00A146ED"/>
    <w:rsid w:val="00A17338"/>
    <w:rsid w:val="00A272C5"/>
    <w:rsid w:val="00A4176E"/>
    <w:rsid w:val="00A42FF9"/>
    <w:rsid w:val="00A44485"/>
    <w:rsid w:val="00A669C9"/>
    <w:rsid w:val="00A768FE"/>
    <w:rsid w:val="00AB3AFC"/>
    <w:rsid w:val="00AD319E"/>
    <w:rsid w:val="00AD762A"/>
    <w:rsid w:val="00AF0CA1"/>
    <w:rsid w:val="00B520D9"/>
    <w:rsid w:val="00B646B4"/>
    <w:rsid w:val="00B97BAE"/>
    <w:rsid w:val="00BD0555"/>
    <w:rsid w:val="00BE6A33"/>
    <w:rsid w:val="00C038FE"/>
    <w:rsid w:val="00C11EBC"/>
    <w:rsid w:val="00C204FB"/>
    <w:rsid w:val="00C37F92"/>
    <w:rsid w:val="00C5307A"/>
    <w:rsid w:val="00C8567B"/>
    <w:rsid w:val="00CA30D4"/>
    <w:rsid w:val="00CB3B28"/>
    <w:rsid w:val="00CC382D"/>
    <w:rsid w:val="00CC74CA"/>
    <w:rsid w:val="00CC76B5"/>
    <w:rsid w:val="00CD012A"/>
    <w:rsid w:val="00CD7F3C"/>
    <w:rsid w:val="00CE0EEB"/>
    <w:rsid w:val="00D20466"/>
    <w:rsid w:val="00D361B2"/>
    <w:rsid w:val="00D909AD"/>
    <w:rsid w:val="00DF2380"/>
    <w:rsid w:val="00E27CA8"/>
    <w:rsid w:val="00E45A40"/>
    <w:rsid w:val="00E604CE"/>
    <w:rsid w:val="00E70C73"/>
    <w:rsid w:val="00E766F0"/>
    <w:rsid w:val="00E932CB"/>
    <w:rsid w:val="00EA0524"/>
    <w:rsid w:val="00EC2B8F"/>
    <w:rsid w:val="00ED46A1"/>
    <w:rsid w:val="00EF29F6"/>
    <w:rsid w:val="00EF7A7C"/>
    <w:rsid w:val="00F1309D"/>
    <w:rsid w:val="00F251E4"/>
    <w:rsid w:val="00F26A57"/>
    <w:rsid w:val="00F41C5A"/>
    <w:rsid w:val="00F47CAB"/>
    <w:rsid w:val="00F63627"/>
    <w:rsid w:val="00F654D2"/>
    <w:rsid w:val="00F7121E"/>
    <w:rsid w:val="00F73D10"/>
    <w:rsid w:val="00F85432"/>
    <w:rsid w:val="00F90337"/>
    <w:rsid w:val="00FB1232"/>
    <w:rsid w:val="00FD7711"/>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34A1B2537D844B49478060AACBCA2" ma:contentTypeVersion="10" ma:contentTypeDescription="Create a new document." ma:contentTypeScope="" ma:versionID="6e122ecb34c6c24fb02e50c2a059cb9e">
  <xsd:schema xmlns:xsd="http://www.w3.org/2001/XMLSchema" xmlns:xs="http://www.w3.org/2001/XMLSchema" xmlns:p="http://schemas.microsoft.com/office/2006/metadata/properties" xmlns:ns3="ce9e3413-a291-474d-86be-f2b94ae52604" targetNamespace="http://schemas.microsoft.com/office/2006/metadata/properties" ma:root="true" ma:fieldsID="221ffe701313c846a8a40b5ba75e68c8" ns3:_="">
    <xsd:import namespace="ce9e3413-a291-474d-86be-f2b94ae526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e3413-a291-474d-86be-f2b94ae52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F2119-D08B-4464-AC19-036172B056B2}">
  <ds:schemaRefs>
    <ds:schemaRef ds:uri="http://schemas.microsoft.com/sharepoint/v3/contenttype/forms"/>
  </ds:schemaRefs>
</ds:datastoreItem>
</file>

<file path=customXml/itemProps2.xml><?xml version="1.0" encoding="utf-8"?>
<ds:datastoreItem xmlns:ds="http://schemas.openxmlformats.org/officeDocument/2006/customXml" ds:itemID="{B42D53C9-A21A-4BC6-ABAB-653E36B5F7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B37BB-7535-4770-A84F-A1470B83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e3413-a291-474d-86be-f2b94ae52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2020-04-15T15:47:00Z</cp:lastPrinted>
  <dcterms:created xsi:type="dcterms:W3CDTF">2021-08-25T15:55:00Z</dcterms:created>
  <dcterms:modified xsi:type="dcterms:W3CDTF">2021-08-25T15:55:00Z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0x01010050934A1B2537D844B49478060AACBCA2</vt:lpwstr>
  </property>
</Properties>
</file>