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FC77" w14:textId="77777777" w:rsidR="00FB0018" w:rsidRDefault="00FB0018"/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02A9B103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3F23FDD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803743" wp14:editId="02D504D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3F88EAEF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2181F30E" w14:textId="77777777" w:rsidTr="00F26A57">
        <w:tc>
          <w:tcPr>
            <w:tcW w:w="1291" w:type="dxa"/>
          </w:tcPr>
          <w:p w14:paraId="42F87FEE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2509E03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9CAADAE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F75EF2F" w14:textId="7C78EC5C" w:rsidR="00F26A57" w:rsidRPr="00B81C69" w:rsidRDefault="00A50B92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89855" wp14:editId="058939B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380365</wp:posOffset>
                      </wp:positionV>
                      <wp:extent cx="2926715" cy="257175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267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8CCFF" w14:textId="77777777" w:rsidR="007A6065" w:rsidRDefault="007A6065" w:rsidP="007A6065">
                                  <w:r>
                                    <w:t>Math</w:t>
                                  </w:r>
                                  <w:r w:rsidR="00FD53D1">
                                    <w:t>ematics</w:t>
                                  </w:r>
                                  <w:r>
                                    <w:t>/Engineering/Physical Science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898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65pt;margin-top:29.95pt;width:230.4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" fillcolor="white [3201]" stroked="f" strokeweight=".5pt">
                      <v:textbox>
                        <w:txbxContent>
                          <w:p w14:paraId="4D68CCFF" w14:textId="77777777" w:rsidR="007A6065" w:rsidRDefault="007A6065" w:rsidP="007A6065">
                            <w:r>
                              <w:t>Math</w:t>
                            </w:r>
                            <w:r w:rsidR="00FD53D1">
                              <w:t>ematics</w:t>
                            </w:r>
                            <w:r>
                              <w:t>/Engineering/Physical Science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</w:tcPr>
          <w:p w14:paraId="1A65CB66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4E38BC21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196210A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277E81C8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3B45A6F4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22BB8C" w14:textId="74D7E2B8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A3F7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FA3F78">
              <w:rPr>
                <w:b/>
                <w:sz w:val="24"/>
                <w:szCs w:val="24"/>
              </w:rPr>
              <w:t>1</w:t>
            </w:r>
          </w:p>
        </w:tc>
      </w:tr>
    </w:tbl>
    <w:p w14:paraId="11562A0B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6"/>
        <w:gridCol w:w="3237"/>
        <w:gridCol w:w="3235"/>
        <w:gridCol w:w="3236"/>
      </w:tblGrid>
      <w:tr w:rsidR="00F26A57" w:rsidRPr="00D554AC" w14:paraId="21CF5023" w14:textId="77777777" w:rsidTr="00A50B92">
        <w:trPr>
          <w:trHeight w:val="749"/>
        </w:trPr>
        <w:tc>
          <w:tcPr>
            <w:tcW w:w="12950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97A630" w14:textId="77777777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5987009C" w14:textId="77777777" w:rsidTr="00A50B92">
        <w:trPr>
          <w:trHeight w:val="51"/>
        </w:trPr>
        <w:tc>
          <w:tcPr>
            <w:tcW w:w="323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421A3F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67F599F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3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5420394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37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3411FA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2467DD27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37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3F9BDD56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28B5DB4B" w14:textId="77777777" w:rsidTr="007336D0">
        <w:trPr>
          <w:trHeight w:val="2055"/>
        </w:trPr>
        <w:tc>
          <w:tcPr>
            <w:tcW w:w="3237" w:type="dxa"/>
            <w:tcBorders>
              <w:top w:val="thinThickSmallGap" w:sz="12" w:space="0" w:color="auto"/>
              <w:right w:val="single" w:sz="6" w:space="0" w:color="auto"/>
            </w:tcBorders>
          </w:tcPr>
          <w:p w14:paraId="2B2F4EBE" w14:textId="47695D0D" w:rsidR="00A01FED" w:rsidRDefault="00AB45D1" w:rsidP="00A01FED">
            <w:r>
              <w:t>1.</w:t>
            </w:r>
            <w:r w:rsidR="0067298D">
              <w:t xml:space="preserve"> </w:t>
            </w:r>
            <w:r>
              <w:t xml:space="preserve"> </w:t>
            </w:r>
            <w:r w:rsidR="00C4366B">
              <w:t>Add 2</w:t>
            </w:r>
            <w:r w:rsidR="00A031EE">
              <w:t xml:space="preserve"> projection unit</w:t>
            </w:r>
            <w:r w:rsidR="00C4366B">
              <w:t>s,</w:t>
            </w:r>
            <w:r w:rsidR="00A031EE">
              <w:t xml:space="preserve"> including a </w:t>
            </w:r>
            <w:r w:rsidR="00C4366B">
              <w:t xml:space="preserve">computer, </w:t>
            </w:r>
            <w:r w:rsidR="00654E18">
              <w:t>screen,</w:t>
            </w:r>
            <w:r w:rsidR="00A031EE">
              <w:t xml:space="preserve"> </w:t>
            </w:r>
            <w:r w:rsidR="00A01FED">
              <w:t xml:space="preserve">and document camera to one </w:t>
            </w:r>
            <w:r w:rsidR="009F7907">
              <w:t>m</w:t>
            </w:r>
            <w:r w:rsidR="00A01FED">
              <w:t xml:space="preserve">ath </w:t>
            </w:r>
            <w:r w:rsidR="00C4366B">
              <w:t xml:space="preserve">and </w:t>
            </w:r>
            <w:r w:rsidR="00A031EE">
              <w:t>one</w:t>
            </w:r>
            <w:r w:rsidR="00A01FED">
              <w:t xml:space="preserve"> </w:t>
            </w:r>
            <w:r w:rsidR="009F7907">
              <w:t>c</w:t>
            </w:r>
            <w:r w:rsidR="00A01FED">
              <w:t>hemistry classroom</w:t>
            </w:r>
            <w:r w:rsidR="00654E18">
              <w:t>.</w:t>
            </w:r>
          </w:p>
          <w:p w14:paraId="50ECA258" w14:textId="77777777" w:rsidR="00F26A57" w:rsidRDefault="00F26A57" w:rsidP="007B0814"/>
          <w:p w14:paraId="211CE336" w14:textId="77777777" w:rsidR="00C4366B" w:rsidRDefault="00C4366B" w:rsidP="007B0814"/>
          <w:p w14:paraId="6C454EE7" w14:textId="77777777" w:rsidR="00C4366B" w:rsidRDefault="00C4366B" w:rsidP="007B0814"/>
          <w:p w14:paraId="39F0EE47" w14:textId="77777777" w:rsidR="00C4366B" w:rsidRDefault="00C4366B" w:rsidP="007B0814"/>
          <w:p w14:paraId="6AF1E518" w14:textId="77777777" w:rsidR="00C4366B" w:rsidRDefault="00C4366B" w:rsidP="007B0814"/>
        </w:tc>
        <w:tc>
          <w:tcPr>
            <w:tcW w:w="323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83F2E5F" w14:textId="1872B324" w:rsidR="00C4366B" w:rsidRDefault="00A031EE" w:rsidP="00A031EE">
            <w:r>
              <w:t>This equipment provides</w:t>
            </w:r>
            <w:r w:rsidR="00391584">
              <w:t xml:space="preserve"> </w:t>
            </w:r>
            <w:r>
              <w:t>an efficient, effective, and easy dissemination</w:t>
            </w:r>
            <w:r w:rsidR="00C4366B">
              <w:t xml:space="preserve"> of </w:t>
            </w:r>
            <w:r w:rsidR="00A32D70">
              <w:t>information for</w:t>
            </w:r>
            <w:r w:rsidR="00C4366B">
              <w:t xml:space="preserve"> </w:t>
            </w:r>
            <w:r w:rsidR="00A32D70">
              <w:t>both students</w:t>
            </w:r>
            <w:r>
              <w:t xml:space="preserve"> and faculty</w:t>
            </w:r>
            <w:r w:rsidR="00CD04CB">
              <w:t>. It</w:t>
            </w:r>
            <w:r w:rsidR="00A32D70">
              <w:t>, also,</w:t>
            </w:r>
            <w:r w:rsidR="00CD04CB">
              <w:t xml:space="preserve"> upgrade</w:t>
            </w:r>
            <w:r w:rsidR="00A32D70">
              <w:t>s</w:t>
            </w:r>
            <w:r w:rsidR="00CD04CB">
              <w:t xml:space="preserve"> the quality of instruction.</w:t>
            </w:r>
          </w:p>
          <w:p w14:paraId="6AE2C621" w14:textId="607A709A" w:rsidR="00F521D6" w:rsidRDefault="00F521D6" w:rsidP="00A031EE"/>
        </w:tc>
        <w:tc>
          <w:tcPr>
            <w:tcW w:w="3237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8D7D51B" w14:textId="397A93A1" w:rsidR="00F26A57" w:rsidRDefault="00CD04CB" w:rsidP="00570CF5">
            <w:r>
              <w:t>The funding was approved but the work has not been completed.</w:t>
            </w:r>
          </w:p>
        </w:tc>
        <w:tc>
          <w:tcPr>
            <w:tcW w:w="3237" w:type="dxa"/>
            <w:tcBorders>
              <w:top w:val="thinThickSmallGap" w:sz="12" w:space="0" w:color="auto"/>
              <w:left w:val="single" w:sz="6" w:space="0" w:color="auto"/>
            </w:tcBorders>
          </w:tcPr>
          <w:p w14:paraId="2B171CB0" w14:textId="62D0856D" w:rsidR="00F26A57" w:rsidRDefault="00CD04CB" w:rsidP="00616707">
            <w:r>
              <w:t>Once the installation is finished, this goal will be complete.</w:t>
            </w:r>
          </w:p>
          <w:p w14:paraId="30B46866" w14:textId="77777777" w:rsidR="00391584" w:rsidRDefault="00391584" w:rsidP="00616707"/>
          <w:p w14:paraId="1415F071" w14:textId="77777777" w:rsidR="00391584" w:rsidRDefault="00391584" w:rsidP="00616707"/>
        </w:tc>
      </w:tr>
      <w:tr w:rsidR="00F26A57" w14:paraId="17B1D23D" w14:textId="77777777" w:rsidTr="00A50B92">
        <w:trPr>
          <w:trHeight w:val="51"/>
        </w:trPr>
        <w:tc>
          <w:tcPr>
            <w:tcW w:w="3237" w:type="dxa"/>
            <w:tcBorders>
              <w:right w:val="single" w:sz="6" w:space="0" w:color="auto"/>
            </w:tcBorders>
          </w:tcPr>
          <w:p w14:paraId="63AAA795" w14:textId="30238F1E" w:rsidR="00A01FED" w:rsidRDefault="00AB45D1" w:rsidP="00A01FED">
            <w:r>
              <w:t>2.</w:t>
            </w:r>
            <w:r w:rsidR="0067298D">
              <w:t xml:space="preserve"> </w:t>
            </w:r>
            <w:r w:rsidR="00A01FED">
              <w:t xml:space="preserve">Continue to upgrade computers being used by full-time </w:t>
            </w:r>
            <w:r w:rsidR="00464965">
              <w:t>f</w:t>
            </w:r>
            <w:r w:rsidR="00A01FED">
              <w:t>aculty members</w:t>
            </w:r>
            <w:r w:rsidR="00654E18">
              <w:t>.</w:t>
            </w:r>
          </w:p>
          <w:p w14:paraId="24EBE914" w14:textId="77777777" w:rsidR="00F26A57" w:rsidRDefault="00F26A57" w:rsidP="007B0814"/>
        </w:tc>
        <w:tc>
          <w:tcPr>
            <w:tcW w:w="3237" w:type="dxa"/>
            <w:tcBorders>
              <w:left w:val="single" w:sz="6" w:space="0" w:color="auto"/>
              <w:right w:val="single" w:sz="4" w:space="0" w:color="auto"/>
            </w:tcBorders>
          </w:tcPr>
          <w:p w14:paraId="09C9940B" w14:textId="3961C4BA" w:rsidR="00391584" w:rsidRDefault="00391584" w:rsidP="00D132F2">
            <w:r>
              <w:t xml:space="preserve">Due to the recent events of COVID-19, </w:t>
            </w:r>
            <w:r w:rsidR="006A11FD">
              <w:t xml:space="preserve">full-time </w:t>
            </w:r>
            <w:r>
              <w:t xml:space="preserve">faculty have a need for laptops with Windows 10 and current specs. </w:t>
            </w:r>
            <w:r w:rsidR="00FB7867">
              <w:t xml:space="preserve"> </w:t>
            </w:r>
          </w:p>
          <w:p w14:paraId="15411981" w14:textId="77777777" w:rsidR="00B50238" w:rsidRDefault="00B50238" w:rsidP="00D132F2"/>
          <w:p w14:paraId="7D7C237B" w14:textId="77777777" w:rsidR="00B50238" w:rsidRDefault="00B50238" w:rsidP="00D132F2"/>
          <w:p w14:paraId="1E6A19AD" w14:textId="77777777" w:rsidR="00B50238" w:rsidRDefault="00B50238" w:rsidP="00D132F2"/>
          <w:p w14:paraId="11AC76EE" w14:textId="5F569B19" w:rsidR="00B50238" w:rsidRDefault="00B50238" w:rsidP="00D132F2"/>
          <w:p w14:paraId="1889072B" w14:textId="77777777" w:rsidR="00A50B92" w:rsidRDefault="00A50B92" w:rsidP="00D132F2"/>
          <w:p w14:paraId="205B3FFC" w14:textId="77777777" w:rsidR="00B50238" w:rsidRDefault="00B50238" w:rsidP="00D132F2"/>
        </w:tc>
        <w:tc>
          <w:tcPr>
            <w:tcW w:w="3237" w:type="dxa"/>
            <w:tcBorders>
              <w:left w:val="single" w:sz="4" w:space="0" w:color="auto"/>
              <w:right w:val="single" w:sz="6" w:space="0" w:color="auto"/>
            </w:tcBorders>
          </w:tcPr>
          <w:p w14:paraId="1DD40B92" w14:textId="77777777" w:rsidR="00A32D70" w:rsidRDefault="00A32D70" w:rsidP="00D132F2">
            <w:r>
              <w:t xml:space="preserve">The original request was amended from 5 desktop computers (4 for fulltime faculty and 1 for the parttime faculty office) to 3 laptops for fulltime faculty and 1 desktop for the part-time faculty office. </w:t>
            </w:r>
          </w:p>
          <w:p w14:paraId="4A3A8776" w14:textId="77777777" w:rsidR="007336D0" w:rsidRDefault="007336D0" w:rsidP="00D132F2"/>
          <w:p w14:paraId="67B270E0" w14:textId="3556AB8C" w:rsidR="007336D0" w:rsidRDefault="007336D0" w:rsidP="00D132F2">
            <w:r>
              <w:t>Three laptops were purchased for fulltime faculty.</w:t>
            </w:r>
          </w:p>
        </w:tc>
        <w:tc>
          <w:tcPr>
            <w:tcW w:w="3237" w:type="dxa"/>
            <w:tcBorders>
              <w:left w:val="single" w:sz="6" w:space="0" w:color="auto"/>
            </w:tcBorders>
          </w:tcPr>
          <w:p w14:paraId="397FC6EC" w14:textId="10695E63" w:rsidR="00F26A57" w:rsidRDefault="00A32D70" w:rsidP="00391584">
            <w:r>
              <w:t>The desktop computer will be requested in the 2021-2023 Strategic Plan.</w:t>
            </w:r>
          </w:p>
          <w:p w14:paraId="62209196" w14:textId="77777777" w:rsidR="00132DA9" w:rsidRDefault="00132DA9" w:rsidP="00391584"/>
          <w:p w14:paraId="43A12268" w14:textId="095A23EB" w:rsidR="00132DA9" w:rsidRDefault="00132DA9" w:rsidP="00391584"/>
        </w:tc>
      </w:tr>
      <w:tr w:rsidR="00F26A57" w14:paraId="79B402F6" w14:textId="77777777" w:rsidTr="00A50B92">
        <w:trPr>
          <w:trHeight w:val="51"/>
        </w:trPr>
        <w:tc>
          <w:tcPr>
            <w:tcW w:w="3237" w:type="dxa"/>
            <w:tcBorders>
              <w:right w:val="single" w:sz="6" w:space="0" w:color="auto"/>
            </w:tcBorders>
          </w:tcPr>
          <w:p w14:paraId="1BDB3B90" w14:textId="5F36521B" w:rsidR="00A01FED" w:rsidRDefault="00AB45D1" w:rsidP="00A01FED">
            <w:r>
              <w:lastRenderedPageBreak/>
              <w:t>3.</w:t>
            </w:r>
            <w:r w:rsidR="0067298D">
              <w:t xml:space="preserve"> </w:t>
            </w:r>
            <w:r w:rsidR="00A01FED">
              <w:t xml:space="preserve">Continue </w:t>
            </w:r>
            <w:r w:rsidR="003431E5">
              <w:t>to equip the Chemistry 111/112 l</w:t>
            </w:r>
            <w:r w:rsidR="00A01FED">
              <w:t>abs with needed lab equipment</w:t>
            </w:r>
            <w:r w:rsidR="00654E18">
              <w:t>.</w:t>
            </w:r>
          </w:p>
          <w:p w14:paraId="4488CF24" w14:textId="77777777" w:rsidR="00F26A57" w:rsidRDefault="00F26A57" w:rsidP="007B0814"/>
        </w:tc>
        <w:tc>
          <w:tcPr>
            <w:tcW w:w="3237" w:type="dxa"/>
            <w:tcBorders>
              <w:left w:val="single" w:sz="6" w:space="0" w:color="auto"/>
              <w:right w:val="single" w:sz="4" w:space="0" w:color="auto"/>
            </w:tcBorders>
          </w:tcPr>
          <w:p w14:paraId="4F7F6B06" w14:textId="7FC14443" w:rsidR="00F26A57" w:rsidRDefault="00AB45D1" w:rsidP="007B0814">
            <w:r w:rsidRPr="00AB45D1">
              <w:t>Fundi</w:t>
            </w:r>
            <w:r w:rsidR="009F53B8">
              <w:t xml:space="preserve">ng was secured </w:t>
            </w:r>
            <w:r w:rsidR="00BA7740">
              <w:t xml:space="preserve">for </w:t>
            </w:r>
            <w:r w:rsidR="009F53B8">
              <w:t xml:space="preserve">Vernier </w:t>
            </w:r>
            <w:proofErr w:type="spellStart"/>
            <w:r w:rsidR="009F53B8">
              <w:t>probeware</w:t>
            </w:r>
            <w:proofErr w:type="spellEnd"/>
            <w:r w:rsidR="009F53B8">
              <w:t xml:space="preserve"> lab equipment</w:t>
            </w:r>
            <w:r w:rsidRPr="00AB45D1">
              <w:t>.</w:t>
            </w:r>
          </w:p>
          <w:p w14:paraId="6639A1F0" w14:textId="1F0B75EF" w:rsidR="009F53B8" w:rsidRDefault="009F53B8" w:rsidP="007B0814">
            <w:r>
              <w:t xml:space="preserve">Additional funding is needed </w:t>
            </w:r>
            <w:r w:rsidR="00DF2AAC">
              <w:t>for 6</w:t>
            </w:r>
            <w:r>
              <w:t xml:space="preserve"> Vernier stir stations.  </w:t>
            </w:r>
          </w:p>
          <w:p w14:paraId="4C066F72" w14:textId="77777777" w:rsidR="009F53B8" w:rsidRDefault="009F53B8" w:rsidP="00B50238">
            <w:pPr>
              <w:jc w:val="center"/>
            </w:pPr>
          </w:p>
          <w:p w14:paraId="2DEE3A89" w14:textId="5573C9D6" w:rsidR="009F53B8" w:rsidRDefault="005F683E" w:rsidP="00B50238">
            <w:r>
              <w:t>S</w:t>
            </w:r>
            <w:r w:rsidR="009F53B8">
              <w:t xml:space="preserve">tir stations are needed for </w:t>
            </w:r>
            <w:r w:rsidR="00B50238">
              <w:t xml:space="preserve">use with </w:t>
            </w:r>
            <w:r>
              <w:t xml:space="preserve">Vernier </w:t>
            </w:r>
            <w:proofErr w:type="spellStart"/>
            <w:r w:rsidR="009F53B8">
              <w:t>probeware</w:t>
            </w:r>
            <w:proofErr w:type="spellEnd"/>
            <w:r w:rsidR="009F53B8">
              <w:t>. The ones previo</w:t>
            </w:r>
            <w:r w:rsidR="00B50238">
              <w:t>usly used were owned by a</w:t>
            </w:r>
            <w:r w:rsidR="009F53B8">
              <w:t xml:space="preserve"> part-time faculty member who no longer teaches. </w:t>
            </w:r>
            <w:r w:rsidR="00B50238">
              <w:t>(</w:t>
            </w:r>
            <w:r w:rsidR="009F53B8">
              <w:t>The instructor did not donate them to the school.</w:t>
            </w:r>
            <w:r w:rsidR="00B50238">
              <w:t>)</w:t>
            </w:r>
          </w:p>
          <w:p w14:paraId="2748769C" w14:textId="77777777" w:rsidR="00B50238" w:rsidRDefault="00B50238" w:rsidP="00B50238"/>
          <w:p w14:paraId="21FAF42C" w14:textId="77777777" w:rsidR="00B50238" w:rsidRDefault="00B50238" w:rsidP="00B50238"/>
          <w:p w14:paraId="337609FC" w14:textId="77777777" w:rsidR="00B50238" w:rsidRDefault="00B50238" w:rsidP="00B50238"/>
          <w:p w14:paraId="5269E5C2" w14:textId="77777777" w:rsidR="00B50238" w:rsidRDefault="00B50238" w:rsidP="00B50238"/>
          <w:p w14:paraId="43A01BD1" w14:textId="77777777" w:rsidR="00B50238" w:rsidRDefault="00B50238" w:rsidP="00B50238"/>
          <w:p w14:paraId="705800AE" w14:textId="77777777" w:rsidR="004632F4" w:rsidRDefault="004632F4" w:rsidP="00B50238"/>
          <w:p w14:paraId="7B1F18A8" w14:textId="77777777" w:rsidR="00B50238" w:rsidRDefault="00B50238" w:rsidP="00B50238"/>
          <w:p w14:paraId="7301D233" w14:textId="77777777" w:rsidR="00B50238" w:rsidRPr="0004289D" w:rsidRDefault="00B50238" w:rsidP="00B50238">
            <w:pPr>
              <w:rPr>
                <w:highlight w:val="yellow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single" w:sz="6" w:space="0" w:color="auto"/>
            </w:tcBorders>
          </w:tcPr>
          <w:p w14:paraId="1373EF46" w14:textId="77777777" w:rsidR="008D4D6D" w:rsidRDefault="003431E5" w:rsidP="007B0814">
            <w:r>
              <w:t>Chemistry l</w:t>
            </w:r>
            <w:r w:rsidR="00AB45D1">
              <w:t xml:space="preserve">abs were upgraded with </w:t>
            </w:r>
            <w:r w:rsidR="00FA3F78">
              <w:t>6</w:t>
            </w:r>
            <w:r w:rsidR="00AB45D1">
              <w:t xml:space="preserve"> Vernier </w:t>
            </w:r>
            <w:r w:rsidR="00FA3F78">
              <w:t>stir stations</w:t>
            </w:r>
            <w:r w:rsidR="008D4D6D">
              <w:t xml:space="preserve"> in June 2020</w:t>
            </w:r>
            <w:r w:rsidR="0067298D">
              <w:t>.</w:t>
            </w:r>
          </w:p>
          <w:p w14:paraId="10F69B50" w14:textId="77777777" w:rsidR="008D4D6D" w:rsidRDefault="008D4D6D" w:rsidP="007B0814"/>
          <w:p w14:paraId="27E9E165" w14:textId="348D98CA" w:rsidR="00F26A57" w:rsidRPr="00AB45D1" w:rsidRDefault="008D4D6D" w:rsidP="007B0814">
            <w:r>
              <w:t xml:space="preserve">Cares grant money was used to order </w:t>
            </w:r>
            <w:r w:rsidR="00BA7740">
              <w:t>12</w:t>
            </w:r>
            <w:r>
              <w:t xml:space="preserve"> more </w:t>
            </w:r>
            <w:r w:rsidR="007336D0">
              <w:t xml:space="preserve">Vernier </w:t>
            </w:r>
            <w:r>
              <w:t xml:space="preserve">stir stations </w:t>
            </w:r>
            <w:r w:rsidR="00BA7740">
              <w:t>with 4 for Jefferson and 8 for Shelby. Other items ordered were</w:t>
            </w:r>
            <w:r>
              <w:t xml:space="preserve"> </w:t>
            </w:r>
            <w:r w:rsidR="00BA7740">
              <w:t>LabQuest (10), Vernier colorimeter</w:t>
            </w:r>
            <w:r w:rsidR="00464965">
              <w:t>s</w:t>
            </w:r>
            <w:r w:rsidR="00BA7740">
              <w:t xml:space="preserve"> (10), oxidation-reduction potential sensor</w:t>
            </w:r>
            <w:r w:rsidR="00464965">
              <w:t>s</w:t>
            </w:r>
            <w:r w:rsidR="00BA7740">
              <w:t xml:space="preserve"> (10), pH </w:t>
            </w:r>
            <w:r w:rsidR="00464965">
              <w:t>s</w:t>
            </w:r>
            <w:r w:rsidR="00BA7740">
              <w:t>ensor</w:t>
            </w:r>
            <w:r w:rsidR="00464965">
              <w:t>s</w:t>
            </w:r>
            <w:r w:rsidR="00BA7740">
              <w:t xml:space="preserve"> (10), drop counter</w:t>
            </w:r>
            <w:r w:rsidR="00464965">
              <w:t>s</w:t>
            </w:r>
            <w:r w:rsidR="00BA7740">
              <w:t xml:space="preserve"> (10), voltage probe</w:t>
            </w:r>
            <w:r w:rsidR="00464965">
              <w:t>s</w:t>
            </w:r>
            <w:r w:rsidR="00BA7740">
              <w:t xml:space="preserve"> (8), gas pressure sensor</w:t>
            </w:r>
            <w:r w:rsidR="00464965">
              <w:t>s</w:t>
            </w:r>
            <w:r w:rsidR="00BA7740">
              <w:t xml:space="preserve"> (10), stainless steel temperature </w:t>
            </w:r>
            <w:r w:rsidR="00464965">
              <w:t>probes (</w:t>
            </w:r>
            <w:r w:rsidR="00BA7740">
              <w:t xml:space="preserve">10). Once these items arrive, they will be divided between Jefferson and Shelby. </w:t>
            </w:r>
            <w:r w:rsidR="00B50238">
              <w:t xml:space="preserve"> </w:t>
            </w:r>
          </w:p>
        </w:tc>
        <w:tc>
          <w:tcPr>
            <w:tcW w:w="3237" w:type="dxa"/>
            <w:tcBorders>
              <w:left w:val="single" w:sz="6" w:space="0" w:color="auto"/>
            </w:tcBorders>
          </w:tcPr>
          <w:p w14:paraId="5278A4B3" w14:textId="77777777" w:rsidR="00F26A57" w:rsidRPr="00AB45D1" w:rsidRDefault="009F0886" w:rsidP="007B0814">
            <w:r w:rsidRPr="00AB45D1">
              <w:t xml:space="preserve">The department will continue to upgrade </w:t>
            </w:r>
            <w:r w:rsidR="003431E5">
              <w:t>the equipment in the Chemistry l</w:t>
            </w:r>
            <w:r w:rsidRPr="00AB45D1">
              <w:t>ab.</w:t>
            </w:r>
          </w:p>
          <w:p w14:paraId="79534C07" w14:textId="77777777" w:rsidR="00BE3B23" w:rsidRPr="0004289D" w:rsidRDefault="00BE3B23" w:rsidP="007B0814">
            <w:pPr>
              <w:rPr>
                <w:highlight w:val="yellow"/>
              </w:rPr>
            </w:pPr>
          </w:p>
          <w:p w14:paraId="0B98A30E" w14:textId="77777777" w:rsidR="00BE3B23" w:rsidRPr="0004289D" w:rsidRDefault="00BE3B23" w:rsidP="007B0814">
            <w:pPr>
              <w:rPr>
                <w:highlight w:val="yellow"/>
              </w:rPr>
            </w:pPr>
          </w:p>
        </w:tc>
      </w:tr>
      <w:tr w:rsidR="00F26A57" w14:paraId="6889D5BA" w14:textId="77777777" w:rsidTr="00A50B92">
        <w:trPr>
          <w:trHeight w:val="51"/>
        </w:trPr>
        <w:tc>
          <w:tcPr>
            <w:tcW w:w="3237" w:type="dxa"/>
            <w:tcBorders>
              <w:right w:val="single" w:sz="6" w:space="0" w:color="auto"/>
            </w:tcBorders>
          </w:tcPr>
          <w:p w14:paraId="09E27E06" w14:textId="41F8B857" w:rsidR="00A01FED" w:rsidRDefault="00AB45D1" w:rsidP="00A01FED">
            <w:r>
              <w:t>4.</w:t>
            </w:r>
            <w:r w:rsidR="00D4500B">
              <w:t xml:space="preserve"> </w:t>
            </w:r>
            <w:r w:rsidR="00A01FED">
              <w:t xml:space="preserve">Maintain up-to-date curriculum and courses to prepare students for transferring to a 4-year </w:t>
            </w:r>
            <w:r w:rsidR="00464965">
              <w:t>u</w:t>
            </w:r>
            <w:r w:rsidR="00A01FED">
              <w:t>niversity</w:t>
            </w:r>
            <w:r w:rsidR="00654E18">
              <w:t>.</w:t>
            </w:r>
          </w:p>
          <w:p w14:paraId="510959F6" w14:textId="77777777" w:rsidR="00F26A57" w:rsidRDefault="00F26A57" w:rsidP="007B0814"/>
          <w:p w14:paraId="6ECD0B88" w14:textId="77777777" w:rsidR="00F26A57" w:rsidRDefault="00F26A57" w:rsidP="007B0814"/>
          <w:p w14:paraId="4B404017" w14:textId="77777777" w:rsidR="00F26A57" w:rsidRDefault="00F26A57" w:rsidP="007B0814"/>
        </w:tc>
        <w:tc>
          <w:tcPr>
            <w:tcW w:w="3237" w:type="dxa"/>
            <w:tcBorders>
              <w:left w:val="single" w:sz="6" w:space="0" w:color="auto"/>
              <w:right w:val="single" w:sz="4" w:space="0" w:color="auto"/>
            </w:tcBorders>
          </w:tcPr>
          <w:p w14:paraId="7AE78A8B" w14:textId="479186A7" w:rsidR="00F26A57" w:rsidRDefault="00654E18" w:rsidP="007B0814">
            <w:r>
              <w:t xml:space="preserve">Keeping curriculum current ensures a smooth transition for Jeff State students </w:t>
            </w:r>
            <w:r w:rsidR="00DF2AAC">
              <w:t xml:space="preserve">who transfer </w:t>
            </w:r>
            <w:r>
              <w:t>to a 4-year university.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6" w:space="0" w:color="auto"/>
            </w:tcBorders>
          </w:tcPr>
          <w:p w14:paraId="3EE1241E" w14:textId="4FF139DF" w:rsidR="0067298D" w:rsidRDefault="00FA3F78" w:rsidP="00FA3F78">
            <w:r>
              <w:t>ACCS provides a</w:t>
            </w:r>
            <w:r w:rsidR="00BE3B23">
              <w:t xml:space="preserve"> review and update of course descriptions, course outcomes, and course outline</w:t>
            </w:r>
            <w:r>
              <w:t>s</w:t>
            </w:r>
            <w:r w:rsidR="00BE3B23">
              <w:t xml:space="preserve"> of topics. </w:t>
            </w:r>
          </w:p>
        </w:tc>
        <w:tc>
          <w:tcPr>
            <w:tcW w:w="3237" w:type="dxa"/>
            <w:tcBorders>
              <w:left w:val="single" w:sz="6" w:space="0" w:color="auto"/>
            </w:tcBorders>
          </w:tcPr>
          <w:p w14:paraId="5E335F66" w14:textId="77777777" w:rsidR="00F26A57" w:rsidRDefault="009F0886" w:rsidP="007B0814">
            <w:r>
              <w:t>The department will continue to update competencies and curriculum as needed.</w:t>
            </w:r>
          </w:p>
          <w:p w14:paraId="73DFB759" w14:textId="77777777" w:rsidR="009F0886" w:rsidRDefault="009F0886" w:rsidP="007B0814"/>
        </w:tc>
      </w:tr>
      <w:tr w:rsidR="009F0886" w14:paraId="18A51A2F" w14:textId="77777777" w:rsidTr="00A50B92">
        <w:trPr>
          <w:trHeight w:val="62"/>
        </w:trPr>
        <w:tc>
          <w:tcPr>
            <w:tcW w:w="3237" w:type="dxa"/>
            <w:tcBorders>
              <w:right w:val="single" w:sz="6" w:space="0" w:color="auto"/>
            </w:tcBorders>
          </w:tcPr>
          <w:p w14:paraId="0AD93F47" w14:textId="34DAD59C" w:rsidR="00A01FED" w:rsidRDefault="00AB45D1" w:rsidP="00A01FED">
            <w:r>
              <w:t>5.</w:t>
            </w:r>
            <w:r w:rsidR="00D4500B">
              <w:t xml:space="preserve"> </w:t>
            </w:r>
            <w:r w:rsidR="00C4366B">
              <w:t>Development and i</w:t>
            </w:r>
            <w:r w:rsidR="00A01FED">
              <w:t>mplement written Student Learning Outcomes (SLO</w:t>
            </w:r>
            <w:r w:rsidR="00C4366B">
              <w:t>’</w:t>
            </w:r>
            <w:r w:rsidR="00A01FED">
              <w:t>s) for all courses in the department to more adequately document and enhance reporting of student progress in the department.</w:t>
            </w:r>
          </w:p>
          <w:p w14:paraId="0B44FAD0" w14:textId="7056B648" w:rsidR="009F7907" w:rsidRDefault="009F7907" w:rsidP="00A01FED"/>
          <w:p w14:paraId="4B5D4030" w14:textId="77777777" w:rsidR="009F0886" w:rsidRDefault="009F0886" w:rsidP="00A50B92"/>
        </w:tc>
        <w:tc>
          <w:tcPr>
            <w:tcW w:w="3237" w:type="dxa"/>
            <w:tcBorders>
              <w:left w:val="single" w:sz="6" w:space="0" w:color="auto"/>
              <w:right w:val="single" w:sz="4" w:space="0" w:color="auto"/>
            </w:tcBorders>
          </w:tcPr>
          <w:p w14:paraId="53745085" w14:textId="3E62D4A2" w:rsidR="00BC2943" w:rsidRDefault="00BC2943" w:rsidP="007B0814">
            <w:r>
              <w:t>SLO’s monitor student learning of directed problems.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6" w:space="0" w:color="auto"/>
            </w:tcBorders>
          </w:tcPr>
          <w:p w14:paraId="3041EB6A" w14:textId="77777777" w:rsidR="009F0886" w:rsidRDefault="009F0886" w:rsidP="007B0814">
            <w:r>
              <w:t xml:space="preserve">SLO’s are </w:t>
            </w:r>
            <w:r w:rsidR="00BE3B23">
              <w:t>evaluated on a yearly and three-</w:t>
            </w:r>
            <w:r>
              <w:t>year basis.</w:t>
            </w:r>
          </w:p>
        </w:tc>
        <w:tc>
          <w:tcPr>
            <w:tcW w:w="3237" w:type="dxa"/>
            <w:tcBorders>
              <w:left w:val="single" w:sz="6" w:space="0" w:color="auto"/>
            </w:tcBorders>
          </w:tcPr>
          <w:p w14:paraId="6BF106F7" w14:textId="77777777" w:rsidR="009F0886" w:rsidRDefault="009F0886" w:rsidP="007B0814">
            <w:r>
              <w:t>Faculty will continue to assess students’ mastery of skills through SLO’s.</w:t>
            </w:r>
          </w:p>
        </w:tc>
      </w:tr>
      <w:tr w:rsidR="00A50B92" w14:paraId="28AF35F6" w14:textId="77777777" w:rsidTr="00A50B92">
        <w:trPr>
          <w:trHeight w:val="62"/>
        </w:trPr>
        <w:tc>
          <w:tcPr>
            <w:tcW w:w="3237" w:type="dxa"/>
            <w:tcBorders>
              <w:right w:val="single" w:sz="6" w:space="0" w:color="auto"/>
            </w:tcBorders>
          </w:tcPr>
          <w:p w14:paraId="379CCF19" w14:textId="35DC13CC" w:rsidR="00A50B92" w:rsidRDefault="00A50B92" w:rsidP="00A50B92">
            <w:r>
              <w:lastRenderedPageBreak/>
              <w:t>Additional:</w:t>
            </w:r>
          </w:p>
          <w:p w14:paraId="15C1B692" w14:textId="77777777" w:rsidR="00A50B92" w:rsidRDefault="00A50B92" w:rsidP="00A50B92">
            <w:r>
              <w:t>Upgrade facilities and improve classrooms.</w:t>
            </w:r>
          </w:p>
          <w:p w14:paraId="534AE2EA" w14:textId="77777777" w:rsidR="00A50B92" w:rsidRDefault="00A50B92" w:rsidP="00A01FED"/>
          <w:p w14:paraId="1EC82A5A" w14:textId="6A8033AA" w:rsidR="00A50B92" w:rsidRDefault="00A50B92" w:rsidP="00A01FED"/>
        </w:tc>
        <w:tc>
          <w:tcPr>
            <w:tcW w:w="3237" w:type="dxa"/>
            <w:tcBorders>
              <w:left w:val="single" w:sz="6" w:space="0" w:color="auto"/>
              <w:right w:val="single" w:sz="4" w:space="0" w:color="auto"/>
            </w:tcBorders>
          </w:tcPr>
          <w:p w14:paraId="3FF668E8" w14:textId="77777777" w:rsidR="00D91901" w:rsidRDefault="00D91901" w:rsidP="00A50B92"/>
          <w:p w14:paraId="40197206" w14:textId="33863D9C" w:rsidR="00A50B92" w:rsidRDefault="00A50B92" w:rsidP="00A50B92">
            <w:r>
              <w:t xml:space="preserve">Remove old chalkboards and replace with whiteboards: </w:t>
            </w:r>
          </w:p>
          <w:p w14:paraId="2B38302A" w14:textId="77777777" w:rsidR="00A50B92" w:rsidRDefault="00A50B92" w:rsidP="00A50B92">
            <w:r>
              <w:t>CH 217, CH 312, CH 319.</w:t>
            </w:r>
          </w:p>
          <w:p w14:paraId="259C88E3" w14:textId="77777777" w:rsidR="00A50B92" w:rsidRDefault="00A50B92" w:rsidP="00A50B92">
            <w:r>
              <w:t xml:space="preserve">Remove old chalkboards: </w:t>
            </w:r>
          </w:p>
          <w:p w14:paraId="013C26D7" w14:textId="77777777" w:rsidR="00A50B92" w:rsidRDefault="00A50B92" w:rsidP="00A50B92">
            <w:r>
              <w:t>CH 308, CH 315</w:t>
            </w:r>
          </w:p>
          <w:p w14:paraId="000D7EB0" w14:textId="77777777" w:rsidR="00A50B92" w:rsidRDefault="00A50B92" w:rsidP="007B0814"/>
        </w:tc>
        <w:tc>
          <w:tcPr>
            <w:tcW w:w="3237" w:type="dxa"/>
            <w:tcBorders>
              <w:left w:val="single" w:sz="4" w:space="0" w:color="auto"/>
              <w:right w:val="single" w:sz="6" w:space="0" w:color="auto"/>
            </w:tcBorders>
          </w:tcPr>
          <w:p w14:paraId="474B2DDB" w14:textId="77777777" w:rsidR="00D91901" w:rsidRDefault="00D91901" w:rsidP="00A50B92"/>
          <w:p w14:paraId="245E0194" w14:textId="6B2360F3" w:rsidR="00A50B92" w:rsidRDefault="00A50B92" w:rsidP="00A50B92">
            <w:r>
              <w:t xml:space="preserve">All rooms are complete except </w:t>
            </w:r>
          </w:p>
          <w:p w14:paraId="456F4B5B" w14:textId="77777777" w:rsidR="00A50B92" w:rsidRDefault="00A50B92" w:rsidP="00A50B92">
            <w:r>
              <w:t>CH 319 (and CH 310 to receive boards from CH 319).</w:t>
            </w:r>
          </w:p>
          <w:p w14:paraId="20C1DE10" w14:textId="77777777" w:rsidR="00A50B92" w:rsidRDefault="00A50B92" w:rsidP="007B0814"/>
        </w:tc>
        <w:tc>
          <w:tcPr>
            <w:tcW w:w="3237" w:type="dxa"/>
            <w:tcBorders>
              <w:left w:val="single" w:sz="6" w:space="0" w:color="auto"/>
            </w:tcBorders>
          </w:tcPr>
          <w:p w14:paraId="51A4B416" w14:textId="77777777" w:rsidR="00D91901" w:rsidRDefault="00D91901" w:rsidP="00A50B92"/>
          <w:p w14:paraId="0384946C" w14:textId="0ADFED09" w:rsidR="00A50B92" w:rsidRDefault="00D91901" w:rsidP="00A50B92">
            <w:r>
              <w:t>Facilities will continue to be upgraded on an as needed basis.</w:t>
            </w:r>
          </w:p>
          <w:p w14:paraId="50E44AE3" w14:textId="77777777" w:rsidR="00A50B92" w:rsidRDefault="00A50B92" w:rsidP="007B0814"/>
          <w:p w14:paraId="49D4E984" w14:textId="77777777" w:rsidR="00A50B92" w:rsidRDefault="00A50B92" w:rsidP="007B0814"/>
          <w:p w14:paraId="4FF8AA70" w14:textId="77777777" w:rsidR="00A50B92" w:rsidRDefault="00A50B92" w:rsidP="007B0814"/>
          <w:p w14:paraId="141D1946" w14:textId="77777777" w:rsidR="00A50B92" w:rsidRDefault="00A50B92" w:rsidP="007B0814"/>
          <w:p w14:paraId="4870C12A" w14:textId="11AF7B62" w:rsidR="00A50B92" w:rsidRDefault="00A50B92" w:rsidP="007B0814"/>
        </w:tc>
      </w:tr>
      <w:tr w:rsidR="00A50B92" w14:paraId="7F54B614" w14:textId="77777777" w:rsidTr="00A50B92">
        <w:trPr>
          <w:trHeight w:val="3765"/>
        </w:trPr>
        <w:tc>
          <w:tcPr>
            <w:tcW w:w="3237" w:type="dxa"/>
            <w:tcBorders>
              <w:right w:val="single" w:sz="6" w:space="0" w:color="auto"/>
            </w:tcBorders>
          </w:tcPr>
          <w:p w14:paraId="53CD6A66" w14:textId="77777777" w:rsidR="00A50B92" w:rsidRDefault="00A50B92" w:rsidP="00A50B92"/>
          <w:p w14:paraId="2A9EDB22" w14:textId="77777777" w:rsidR="00A50B92" w:rsidRDefault="00A50B92" w:rsidP="00A50B92"/>
          <w:p w14:paraId="3B3F0562" w14:textId="77777777" w:rsidR="00A50B92" w:rsidRDefault="00A50B92" w:rsidP="00A50B92"/>
          <w:p w14:paraId="4EAF2918" w14:textId="77777777" w:rsidR="00A50B92" w:rsidRDefault="00A50B92" w:rsidP="00A50B92"/>
          <w:p w14:paraId="1420F49A" w14:textId="77777777" w:rsidR="00A50B92" w:rsidRDefault="00A50B92" w:rsidP="00A50B92"/>
          <w:p w14:paraId="76FFC501" w14:textId="77777777" w:rsidR="00A50B92" w:rsidRDefault="00A50B92" w:rsidP="00A50B92"/>
          <w:p w14:paraId="1EC4DEF6" w14:textId="77777777" w:rsidR="00A50B92" w:rsidRDefault="00A50B92" w:rsidP="00A50B92"/>
          <w:p w14:paraId="7E2B7E6A" w14:textId="77777777" w:rsidR="00A50B92" w:rsidRDefault="00A50B92" w:rsidP="00A50B92"/>
          <w:p w14:paraId="6E60B42D" w14:textId="77777777" w:rsidR="00A50B92" w:rsidRDefault="00A50B92" w:rsidP="00A50B92"/>
          <w:p w14:paraId="38C97EC3" w14:textId="77777777" w:rsidR="00A50B92" w:rsidRDefault="00A50B92" w:rsidP="00A50B92"/>
          <w:p w14:paraId="12B9F85C" w14:textId="77777777" w:rsidR="00A50B92" w:rsidRDefault="00A50B92" w:rsidP="00A50B92"/>
          <w:p w14:paraId="6BA25E18" w14:textId="77777777" w:rsidR="00A50B92" w:rsidRDefault="00A50B92" w:rsidP="00A50B92"/>
          <w:p w14:paraId="67537BF7" w14:textId="77777777" w:rsidR="00A50B92" w:rsidRDefault="00A50B92" w:rsidP="00A50B92"/>
          <w:p w14:paraId="6BE11DC4" w14:textId="77777777" w:rsidR="00A50B92" w:rsidRDefault="00A50B92" w:rsidP="00A50B92"/>
          <w:p w14:paraId="4C481504" w14:textId="77777777" w:rsidR="00A50B92" w:rsidRDefault="00A50B92" w:rsidP="00A50B92"/>
          <w:p w14:paraId="32E48CEA" w14:textId="77777777" w:rsidR="00A50B92" w:rsidRDefault="00A50B92" w:rsidP="00A50B92"/>
          <w:p w14:paraId="3AB5404F" w14:textId="77777777" w:rsidR="00A50B92" w:rsidRDefault="00A50B92" w:rsidP="00A50B92"/>
          <w:p w14:paraId="46444A3E" w14:textId="77777777" w:rsidR="00A50B92" w:rsidRDefault="00A50B92" w:rsidP="00A50B92"/>
          <w:p w14:paraId="597D788A" w14:textId="5670F3C2" w:rsidR="00A50B92" w:rsidRDefault="00A50B92" w:rsidP="00A50B92"/>
        </w:tc>
        <w:tc>
          <w:tcPr>
            <w:tcW w:w="3237" w:type="dxa"/>
            <w:tcBorders>
              <w:left w:val="single" w:sz="6" w:space="0" w:color="auto"/>
              <w:right w:val="single" w:sz="4" w:space="0" w:color="auto"/>
            </w:tcBorders>
          </w:tcPr>
          <w:p w14:paraId="3D861B07" w14:textId="77777777" w:rsidR="00A50B92" w:rsidRDefault="00A50B92" w:rsidP="00A50B92"/>
        </w:tc>
        <w:tc>
          <w:tcPr>
            <w:tcW w:w="3237" w:type="dxa"/>
            <w:tcBorders>
              <w:left w:val="single" w:sz="4" w:space="0" w:color="auto"/>
              <w:right w:val="single" w:sz="6" w:space="0" w:color="auto"/>
            </w:tcBorders>
          </w:tcPr>
          <w:p w14:paraId="5CC7ADAA" w14:textId="77777777" w:rsidR="00A50B92" w:rsidRDefault="00A50B92" w:rsidP="00A50B92"/>
        </w:tc>
        <w:tc>
          <w:tcPr>
            <w:tcW w:w="3237" w:type="dxa"/>
            <w:tcBorders>
              <w:left w:val="single" w:sz="6" w:space="0" w:color="auto"/>
            </w:tcBorders>
          </w:tcPr>
          <w:p w14:paraId="735E2F97" w14:textId="77777777" w:rsidR="00A50B92" w:rsidRDefault="00A50B92" w:rsidP="00A50B92"/>
        </w:tc>
      </w:tr>
      <w:tr w:rsidR="00F26A57" w:rsidRPr="002A44E2" w14:paraId="1C2666B3" w14:textId="77777777" w:rsidTr="00A50B92">
        <w:trPr>
          <w:trHeight w:val="62"/>
        </w:trPr>
        <w:tc>
          <w:tcPr>
            <w:tcW w:w="6475" w:type="dxa"/>
            <w:gridSpan w:val="2"/>
            <w:tcBorders>
              <w:right w:val="single" w:sz="4" w:space="0" w:color="auto"/>
            </w:tcBorders>
          </w:tcPr>
          <w:p w14:paraId="10EA38A5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048BD4E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037470C7" w14:textId="252D42C2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D4500B">
              <w:rPr>
                <w:b/>
              </w:rPr>
              <w:t xml:space="preserve">  </w:t>
            </w:r>
            <w:r w:rsidR="00464965">
              <w:rPr>
                <w:b/>
              </w:rPr>
              <w:t>8</w:t>
            </w:r>
            <w:r w:rsidR="00D4500B">
              <w:rPr>
                <w:b/>
              </w:rPr>
              <w:t>/</w:t>
            </w:r>
            <w:r w:rsidR="00464965">
              <w:rPr>
                <w:b/>
              </w:rPr>
              <w:t>24</w:t>
            </w:r>
            <w:r w:rsidR="00D4500B">
              <w:rPr>
                <w:b/>
              </w:rPr>
              <w:t>/2020</w:t>
            </w:r>
          </w:p>
        </w:tc>
        <w:tc>
          <w:tcPr>
            <w:tcW w:w="6475" w:type="dxa"/>
            <w:gridSpan w:val="2"/>
            <w:tcBorders>
              <w:left w:val="single" w:sz="4" w:space="0" w:color="auto"/>
            </w:tcBorders>
          </w:tcPr>
          <w:p w14:paraId="25172C4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050988AB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59CCAD6F" w14:textId="77777777" w:rsidR="00F26A57" w:rsidRPr="00D4500B" w:rsidRDefault="00F26A57" w:rsidP="00D4500B">
            <w:pPr>
              <w:rPr>
                <w:rFonts w:ascii="Script MT Bold" w:hAnsi="Script MT Bold"/>
                <w:b/>
                <w:sz w:val="8"/>
                <w:szCs w:val="8"/>
              </w:rPr>
            </w:pPr>
            <w:r w:rsidRPr="00102B7D">
              <w:rPr>
                <w:b/>
              </w:rPr>
              <w:t>Submitted by:</w:t>
            </w:r>
            <w:r w:rsidR="00D4500B">
              <w:rPr>
                <w:b/>
              </w:rPr>
              <w:t xml:space="preserve">  </w:t>
            </w:r>
            <w:r w:rsidR="00D4500B">
              <w:rPr>
                <w:rFonts w:ascii="Script MT Bold" w:hAnsi="Script MT Bold"/>
                <w:b/>
              </w:rPr>
              <w:t>Louise Fall</w:t>
            </w:r>
          </w:p>
        </w:tc>
      </w:tr>
      <w:tr w:rsidR="00A50B92" w:rsidRPr="002A44E2" w14:paraId="1B69D659" w14:textId="77777777" w:rsidTr="00A50B92">
        <w:trPr>
          <w:trHeight w:val="62"/>
        </w:trPr>
        <w:tc>
          <w:tcPr>
            <w:tcW w:w="6475" w:type="dxa"/>
            <w:gridSpan w:val="2"/>
            <w:tcBorders>
              <w:right w:val="single" w:sz="4" w:space="0" w:color="auto"/>
            </w:tcBorders>
          </w:tcPr>
          <w:p w14:paraId="5CDCC7C3" w14:textId="77777777" w:rsidR="00A50B92" w:rsidRPr="002A44E2" w:rsidRDefault="00A50B92" w:rsidP="007B0814">
            <w:pPr>
              <w:rPr>
                <w:sz w:val="12"/>
                <w:szCs w:val="12"/>
              </w:rPr>
            </w:pPr>
          </w:p>
        </w:tc>
        <w:tc>
          <w:tcPr>
            <w:tcW w:w="6475" w:type="dxa"/>
            <w:gridSpan w:val="2"/>
            <w:tcBorders>
              <w:left w:val="single" w:sz="4" w:space="0" w:color="auto"/>
            </w:tcBorders>
          </w:tcPr>
          <w:p w14:paraId="1CE86B51" w14:textId="77777777" w:rsidR="00A50B92" w:rsidRPr="00490115" w:rsidRDefault="00A50B92" w:rsidP="007B0814">
            <w:pPr>
              <w:rPr>
                <w:sz w:val="12"/>
                <w:szCs w:val="12"/>
              </w:rPr>
            </w:pPr>
          </w:p>
        </w:tc>
      </w:tr>
    </w:tbl>
    <w:p w14:paraId="083E9FAC" w14:textId="77777777" w:rsidR="00F26A57" w:rsidRPr="00D4500B" w:rsidRDefault="00F26A57">
      <w:pPr>
        <w:rPr>
          <w:rFonts w:ascii="Script MT Bold" w:hAnsi="Script MT Bold"/>
        </w:rPr>
      </w:pPr>
    </w:p>
    <w:sectPr w:rsidR="00F26A57" w:rsidRPr="00D4500B" w:rsidSect="00391584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44FDA"/>
    <w:multiLevelType w:val="hybridMultilevel"/>
    <w:tmpl w:val="E2A0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1E2A"/>
    <w:multiLevelType w:val="hybridMultilevel"/>
    <w:tmpl w:val="B8A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63CD3"/>
    <w:multiLevelType w:val="hybridMultilevel"/>
    <w:tmpl w:val="FE78C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4289D"/>
    <w:rsid w:val="000846C9"/>
    <w:rsid w:val="000E59ED"/>
    <w:rsid w:val="000E63AC"/>
    <w:rsid w:val="00132DA9"/>
    <w:rsid w:val="001A6D38"/>
    <w:rsid w:val="001D23F4"/>
    <w:rsid w:val="001E7D35"/>
    <w:rsid w:val="0020065E"/>
    <w:rsid w:val="002E7FCF"/>
    <w:rsid w:val="003006D6"/>
    <w:rsid w:val="003234A9"/>
    <w:rsid w:val="003431E5"/>
    <w:rsid w:val="00391584"/>
    <w:rsid w:val="003B5286"/>
    <w:rsid w:val="004632F4"/>
    <w:rsid w:val="00464965"/>
    <w:rsid w:val="00486415"/>
    <w:rsid w:val="00495F22"/>
    <w:rsid w:val="004C7EB5"/>
    <w:rsid w:val="004D565F"/>
    <w:rsid w:val="004E539B"/>
    <w:rsid w:val="00565D84"/>
    <w:rsid w:val="00570CF5"/>
    <w:rsid w:val="005905E1"/>
    <w:rsid w:val="00591691"/>
    <w:rsid w:val="005B236E"/>
    <w:rsid w:val="005F683E"/>
    <w:rsid w:val="00616707"/>
    <w:rsid w:val="0062332F"/>
    <w:rsid w:val="00637233"/>
    <w:rsid w:val="00654E18"/>
    <w:rsid w:val="0067298D"/>
    <w:rsid w:val="006A11FD"/>
    <w:rsid w:val="007336D0"/>
    <w:rsid w:val="007A6065"/>
    <w:rsid w:val="008028C3"/>
    <w:rsid w:val="008226A0"/>
    <w:rsid w:val="008921E9"/>
    <w:rsid w:val="008B2DB6"/>
    <w:rsid w:val="008D4D6D"/>
    <w:rsid w:val="009310DF"/>
    <w:rsid w:val="009F0886"/>
    <w:rsid w:val="009F53B8"/>
    <w:rsid w:val="009F7907"/>
    <w:rsid w:val="00A01FED"/>
    <w:rsid w:val="00A031EE"/>
    <w:rsid w:val="00A32D70"/>
    <w:rsid w:val="00A50B92"/>
    <w:rsid w:val="00AB45D1"/>
    <w:rsid w:val="00B0258E"/>
    <w:rsid w:val="00B50238"/>
    <w:rsid w:val="00B94459"/>
    <w:rsid w:val="00BA7740"/>
    <w:rsid w:val="00BC2943"/>
    <w:rsid w:val="00BD18E9"/>
    <w:rsid w:val="00BE3B23"/>
    <w:rsid w:val="00BF04BB"/>
    <w:rsid w:val="00C13219"/>
    <w:rsid w:val="00C4366B"/>
    <w:rsid w:val="00CD04CB"/>
    <w:rsid w:val="00D132F2"/>
    <w:rsid w:val="00D4500B"/>
    <w:rsid w:val="00D91901"/>
    <w:rsid w:val="00DE6B37"/>
    <w:rsid w:val="00DF2AAC"/>
    <w:rsid w:val="00E15D83"/>
    <w:rsid w:val="00E70C73"/>
    <w:rsid w:val="00EC4DDE"/>
    <w:rsid w:val="00F26A57"/>
    <w:rsid w:val="00F274DE"/>
    <w:rsid w:val="00F521D6"/>
    <w:rsid w:val="00FA3F78"/>
    <w:rsid w:val="00FB0018"/>
    <w:rsid w:val="00FB04FA"/>
    <w:rsid w:val="00FB7867"/>
    <w:rsid w:val="00FD53D1"/>
    <w:rsid w:val="00FD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EFAE"/>
  <w15:docId w15:val="{75929369-0C89-4C94-8D87-25BE528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BC3BB64B88448DC94E75F552380A" ma:contentTypeVersion="10" ma:contentTypeDescription="Create a new document." ma:contentTypeScope="" ma:versionID="4f1eb695a89145ecc7bf3910cbd6e62a">
  <xsd:schema xmlns:xsd="http://www.w3.org/2001/XMLSchema" xmlns:xs="http://www.w3.org/2001/XMLSchema" xmlns:p="http://schemas.microsoft.com/office/2006/metadata/properties" xmlns:ns3="a896fd48-7d5c-47d7-9998-3435a745e9ca" targetNamespace="http://schemas.microsoft.com/office/2006/metadata/properties" ma:root="true" ma:fieldsID="c1a9b66706b968d312cde13f86cde8ed" ns3:_="">
    <xsd:import namespace="a896fd48-7d5c-47d7-9998-3435a745e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fd48-7d5c-47d7-9998-3435a745e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BD3FD-A89D-4895-9C2B-77B73197B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52074-0277-4140-8AAE-BD5932B6D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78C95-F919-46F8-A233-DFA59812B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3FF69-25C8-4D68-807E-F1DD977EB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6fd48-7d5c-47d7-9998-3435a745e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cp:lastPrinted>2020-04-30T18:48:00Z</cp:lastPrinted>
  <dcterms:created xsi:type="dcterms:W3CDTF">2021-08-25T19:22:00Z</dcterms:created>
  <dcterms:modified xsi:type="dcterms:W3CDTF">2021-08-25T19:22:00Z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0x0101002FDFBC3BB64B88448DC94E75F552380A</vt:lpwstr>
  </property>
</Properties>
</file>