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36B6298B" w14:textId="77777777" w:rsidTr="00F26A57">
        <w:trPr>
          <w:gridAfter w:val="1"/>
          <w:wAfter w:w="13" w:type="dxa"/>
        </w:trPr>
        <w:tc>
          <w:tcPr>
            <w:tcW w:w="6588" w:type="dxa"/>
            <w:gridSpan w:val="3"/>
          </w:tcPr>
          <w:p w14:paraId="4D362B8D" w14:textId="77777777" w:rsidR="00F26A57" w:rsidRPr="00B81C69" w:rsidRDefault="00F26A57" w:rsidP="007B0814">
            <w:pPr>
              <w:rPr>
                <w:b/>
                <w:sz w:val="24"/>
                <w:szCs w:val="24"/>
              </w:rPr>
            </w:pPr>
            <w:r>
              <w:rPr>
                <w:noProof/>
              </w:rPr>
              <w:drawing>
                <wp:inline distT="0" distB="0" distL="0" distR="0" wp14:anchorId="3DE1D224" wp14:editId="1B4789F8">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231AC92"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3567B9F" w14:textId="77777777" w:rsidTr="004C48B1">
        <w:tc>
          <w:tcPr>
            <w:tcW w:w="1291" w:type="dxa"/>
          </w:tcPr>
          <w:p w14:paraId="05647E6F" w14:textId="77777777" w:rsidR="00F26A57" w:rsidRDefault="00F26A57" w:rsidP="007B0814">
            <w:pPr>
              <w:rPr>
                <w:b/>
                <w:sz w:val="28"/>
                <w:szCs w:val="28"/>
              </w:rPr>
            </w:pPr>
          </w:p>
          <w:p w14:paraId="7B531FFE" w14:textId="77777777" w:rsidR="00F26A57" w:rsidRDefault="00F26A57" w:rsidP="007B0814">
            <w:pPr>
              <w:rPr>
                <w:b/>
                <w:sz w:val="28"/>
                <w:szCs w:val="28"/>
              </w:rPr>
            </w:pPr>
          </w:p>
          <w:p w14:paraId="3EFF51E7"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14:paraId="63F5E3DB" w14:textId="4F532138" w:rsidR="00F26A57" w:rsidRPr="00B81C69" w:rsidRDefault="00A42570" w:rsidP="004C48B1">
            <w:pPr>
              <w:jc w:val="center"/>
              <w:rPr>
                <w:b/>
                <w:sz w:val="24"/>
                <w:szCs w:val="24"/>
              </w:rPr>
            </w:pPr>
            <w:r>
              <w:rPr>
                <w:b/>
                <w:sz w:val="24"/>
                <w:szCs w:val="24"/>
              </w:rPr>
              <w:t>Liberal Arts</w:t>
            </w:r>
            <w:r w:rsidR="004C48B1">
              <w:rPr>
                <w:b/>
                <w:sz w:val="24"/>
                <w:szCs w:val="24"/>
              </w:rPr>
              <w:t xml:space="preserve"> (Jefferson Campus)</w:t>
            </w:r>
          </w:p>
        </w:tc>
        <w:tc>
          <w:tcPr>
            <w:tcW w:w="2610" w:type="dxa"/>
            <w:gridSpan w:val="2"/>
          </w:tcPr>
          <w:p w14:paraId="6B3339B3" w14:textId="77777777" w:rsidR="00F26A57" w:rsidRDefault="00F26A57" w:rsidP="007B0814">
            <w:pPr>
              <w:rPr>
                <w:b/>
                <w:sz w:val="24"/>
                <w:szCs w:val="24"/>
              </w:rPr>
            </w:pPr>
            <w:r>
              <w:rPr>
                <w:b/>
                <w:sz w:val="24"/>
                <w:szCs w:val="24"/>
              </w:rPr>
              <w:t xml:space="preserve">  </w:t>
            </w:r>
          </w:p>
          <w:p w14:paraId="27396C82" w14:textId="77777777" w:rsidR="00F26A57" w:rsidRDefault="00F26A57" w:rsidP="007B0814">
            <w:pPr>
              <w:rPr>
                <w:b/>
                <w:sz w:val="28"/>
                <w:szCs w:val="28"/>
              </w:rPr>
            </w:pPr>
          </w:p>
          <w:p w14:paraId="61048107"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vAlign w:val="bottom"/>
          </w:tcPr>
          <w:p w14:paraId="04D6E687" w14:textId="08893A3D" w:rsidR="00F26A57" w:rsidRPr="00B81C69" w:rsidRDefault="004C48B1" w:rsidP="004C48B1">
            <w:pPr>
              <w:jc w:val="center"/>
              <w:rPr>
                <w:b/>
                <w:sz w:val="24"/>
                <w:szCs w:val="24"/>
              </w:rPr>
            </w:pPr>
            <w:r>
              <w:rPr>
                <w:b/>
                <w:sz w:val="24"/>
                <w:szCs w:val="24"/>
              </w:rPr>
              <w:t>AY 2020-2021</w:t>
            </w:r>
          </w:p>
        </w:tc>
      </w:tr>
    </w:tbl>
    <w:p w14:paraId="67D14D8A"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6"/>
        <w:gridCol w:w="3258"/>
        <w:gridCol w:w="3223"/>
        <w:gridCol w:w="3247"/>
      </w:tblGrid>
      <w:tr w:rsidR="00F26A57" w:rsidRPr="00D554AC" w14:paraId="6E30CFC3" w14:textId="77777777" w:rsidTr="007B0814">
        <w:tc>
          <w:tcPr>
            <w:tcW w:w="13176" w:type="dxa"/>
            <w:gridSpan w:val="4"/>
            <w:tcBorders>
              <w:bottom w:val="single" w:sz="6" w:space="0" w:color="auto"/>
            </w:tcBorders>
            <w:shd w:val="clear" w:color="auto" w:fill="D9D9D9" w:themeFill="background1" w:themeFillShade="D9"/>
          </w:tcPr>
          <w:p w14:paraId="63988B9C" w14:textId="77777777" w:rsidR="00F26A57" w:rsidRPr="00D554AC" w:rsidRDefault="00F26A57" w:rsidP="007B0814">
            <w:pPr>
              <w:jc w:val="center"/>
              <w:rPr>
                <w:b/>
                <w:sz w:val="32"/>
                <w:szCs w:val="32"/>
              </w:rPr>
            </w:pPr>
          </w:p>
        </w:tc>
      </w:tr>
      <w:tr w:rsidR="00F26A57" w:rsidRPr="00D554AC" w14:paraId="758B1D1C" w14:textId="77777777" w:rsidTr="007B0814">
        <w:trPr>
          <w:trHeight w:val="54"/>
        </w:trPr>
        <w:tc>
          <w:tcPr>
            <w:tcW w:w="3294" w:type="dxa"/>
            <w:tcBorders>
              <w:left w:val="single" w:sz="6" w:space="0" w:color="auto"/>
              <w:bottom w:val="double" w:sz="4" w:space="0" w:color="auto"/>
              <w:right w:val="single" w:sz="6" w:space="0" w:color="auto"/>
            </w:tcBorders>
          </w:tcPr>
          <w:p w14:paraId="619F61DA" w14:textId="77777777" w:rsidR="00F26A57" w:rsidRPr="00490115" w:rsidRDefault="00F26A57" w:rsidP="007B0814">
            <w:pPr>
              <w:jc w:val="center"/>
              <w:rPr>
                <w:b/>
                <w:sz w:val="16"/>
                <w:szCs w:val="16"/>
              </w:rPr>
            </w:pPr>
          </w:p>
          <w:p w14:paraId="3A79C555"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6C941F40"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097FBE22" w14:textId="77777777" w:rsidR="00F26A57" w:rsidRPr="00490115" w:rsidRDefault="00F26A57" w:rsidP="007B0814">
            <w:pPr>
              <w:jc w:val="center"/>
              <w:rPr>
                <w:b/>
                <w:sz w:val="16"/>
                <w:szCs w:val="16"/>
              </w:rPr>
            </w:pPr>
          </w:p>
          <w:p w14:paraId="04ADD6C7"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1C153B28" w14:textId="77777777" w:rsidR="00F26A57" w:rsidRPr="00D554AC" w:rsidRDefault="00F26A57" w:rsidP="007B0814">
            <w:pPr>
              <w:jc w:val="center"/>
              <w:rPr>
                <w:b/>
                <w:sz w:val="24"/>
                <w:szCs w:val="24"/>
              </w:rPr>
            </w:pPr>
            <w:r>
              <w:rPr>
                <w:b/>
                <w:sz w:val="24"/>
                <w:szCs w:val="24"/>
              </w:rPr>
              <w:t>Strategies Implemented &amp; Follow-up</w:t>
            </w:r>
          </w:p>
        </w:tc>
      </w:tr>
      <w:tr w:rsidR="00F26A57" w14:paraId="75549187" w14:textId="77777777" w:rsidTr="007B0814">
        <w:trPr>
          <w:trHeight w:val="54"/>
        </w:trPr>
        <w:tc>
          <w:tcPr>
            <w:tcW w:w="3294" w:type="dxa"/>
            <w:tcBorders>
              <w:top w:val="thinThickSmallGap" w:sz="12" w:space="0" w:color="auto"/>
              <w:right w:val="single" w:sz="6" w:space="0" w:color="auto"/>
            </w:tcBorders>
          </w:tcPr>
          <w:p w14:paraId="1BA06F48" w14:textId="132C17B5" w:rsidR="00F26A57" w:rsidRDefault="00E66084" w:rsidP="007B0814">
            <w:r>
              <w:rPr>
                <w:rStyle w:val="normaltextrun"/>
                <w:rFonts w:ascii="Calibri" w:hAnsi="Calibri" w:cs="Calibri"/>
                <w:b/>
                <w:bCs/>
                <w:color w:val="000000"/>
                <w:shd w:val="clear" w:color="auto" w:fill="FFFFFF"/>
              </w:rPr>
              <w:t>Goal 1: Maintain an informed and professional faculty to preserve the ability to offer courses to help students meet their educational and transfer goals.</w:t>
            </w:r>
            <w:r>
              <w:rPr>
                <w:rStyle w:val="eop"/>
                <w:rFonts w:ascii="Calibri" w:hAnsi="Calibri" w:cs="Calibri"/>
                <w:color w:val="000000"/>
                <w:shd w:val="clear" w:color="auto" w:fill="FFFFFF"/>
              </w:rPr>
              <w:t> </w:t>
            </w:r>
          </w:p>
          <w:p w14:paraId="74D9E5E9"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1A1318CE" w14:textId="77777777" w:rsidR="00FB6327" w:rsidRDefault="00780E04" w:rsidP="00FB6327">
            <w:pPr>
              <w:pStyle w:val="ListParagraph"/>
              <w:numPr>
                <w:ilvl w:val="1"/>
                <w:numId w:val="1"/>
              </w:numPr>
            </w:pPr>
            <w:r>
              <w:t xml:space="preserve">Provide support for professional development </w:t>
            </w:r>
            <w:r w:rsidR="002E40EA">
              <w:t>opportunities (on campus, virtual, in-state, and national).</w:t>
            </w:r>
          </w:p>
          <w:p w14:paraId="665603CB" w14:textId="5438703E" w:rsidR="00EC3DD8" w:rsidRDefault="00EC3DD8" w:rsidP="00FB6327">
            <w:pPr>
              <w:pStyle w:val="ListParagraph"/>
              <w:numPr>
                <w:ilvl w:val="1"/>
                <w:numId w:val="1"/>
              </w:numPr>
            </w:pPr>
            <w:r>
              <w:t xml:space="preserve">Staff courses with </w:t>
            </w:r>
            <w:r w:rsidR="00A6387D">
              <w:t>qualified instructors</w:t>
            </w:r>
          </w:p>
        </w:tc>
        <w:tc>
          <w:tcPr>
            <w:tcW w:w="3294" w:type="dxa"/>
            <w:tcBorders>
              <w:top w:val="thinThickSmallGap" w:sz="12" w:space="0" w:color="auto"/>
              <w:left w:val="single" w:sz="4" w:space="0" w:color="auto"/>
              <w:right w:val="single" w:sz="6" w:space="0" w:color="auto"/>
            </w:tcBorders>
          </w:tcPr>
          <w:p w14:paraId="150DD603" w14:textId="77777777" w:rsidR="00BA5107" w:rsidRDefault="00BA5107" w:rsidP="00BA5107">
            <w:pPr>
              <w:pStyle w:val="ListParagraph"/>
              <w:numPr>
                <w:ilvl w:val="1"/>
                <w:numId w:val="2"/>
              </w:numPr>
            </w:pPr>
            <w:r>
              <w:t xml:space="preserve">The college provided opportunities for professional development through OLC and QM online workshops. Faculty members used IAP funds to complete </w:t>
            </w:r>
            <w:r w:rsidR="00EE0A07">
              <w:t>other</w:t>
            </w:r>
            <w:r>
              <w:t xml:space="preserve"> activities. Due to the pandemic, most activities were virtual and at significantly reduced cost. </w:t>
            </w:r>
          </w:p>
          <w:p w14:paraId="0CDC6F2C" w14:textId="4AC16FA1" w:rsidR="00A6387D" w:rsidRDefault="00A6387D" w:rsidP="00BA5107">
            <w:pPr>
              <w:pStyle w:val="ListParagraph"/>
              <w:numPr>
                <w:ilvl w:val="1"/>
                <w:numId w:val="2"/>
              </w:numPr>
            </w:pPr>
            <w:r>
              <w:t xml:space="preserve">The department was able to meet our needs with a combination of existing full-time and part-time </w:t>
            </w:r>
            <w:r w:rsidR="00A66C23">
              <w:t>instructors</w:t>
            </w:r>
            <w:r>
              <w:t xml:space="preserve">. </w:t>
            </w:r>
            <w:r w:rsidR="009D6F72" w:rsidRPr="009D6F72">
              <w:t xml:space="preserve">Evaluations of full and part time faculty are conducted annually to determine instructor effectiveness. No new full-time instructors were required. We continue to </w:t>
            </w:r>
            <w:r w:rsidR="009D6F72" w:rsidRPr="009D6F72">
              <w:lastRenderedPageBreak/>
              <w:t>review applications for additional part-time instructors as needed.</w:t>
            </w:r>
          </w:p>
        </w:tc>
        <w:tc>
          <w:tcPr>
            <w:tcW w:w="3294" w:type="dxa"/>
            <w:tcBorders>
              <w:top w:val="thinThickSmallGap" w:sz="12" w:space="0" w:color="auto"/>
              <w:left w:val="single" w:sz="6" w:space="0" w:color="auto"/>
            </w:tcBorders>
          </w:tcPr>
          <w:p w14:paraId="78B345EB" w14:textId="43A93A79" w:rsidR="004F60DA" w:rsidRDefault="001469FD" w:rsidP="00A501EF">
            <w:pPr>
              <w:pStyle w:val="ListParagraph"/>
              <w:numPr>
                <w:ilvl w:val="1"/>
                <w:numId w:val="18"/>
              </w:numPr>
            </w:pPr>
            <w:r>
              <w:lastRenderedPageBreak/>
              <w:t>The Department will continue to encourage peer training among faculty to develop technological skills to enhance instruction</w:t>
            </w:r>
            <w:r w:rsidR="00D31CDE">
              <w:t xml:space="preserve">, as well as seek additional opportunities for professional development. </w:t>
            </w:r>
            <w:r w:rsidR="00A421BD">
              <w:t>Faculty will be encouraged to attend local, in-state</w:t>
            </w:r>
            <w:r w:rsidR="00760A6D">
              <w:t xml:space="preserve">, virtual, and out of state conferences. Funding will be requested for these opportunities. </w:t>
            </w:r>
            <w:r w:rsidR="004F60DA">
              <w:t>Faculty will also be encouraged to submit</w:t>
            </w:r>
            <w:r w:rsidR="00494C4D">
              <w:t xml:space="preserve"> proposals for presenting at conferences, as well as leading in-house professional development meetings on campus. </w:t>
            </w:r>
            <w:r w:rsidR="004468DD" w:rsidRPr="004468DD">
              <w:t xml:space="preserve">Another important part of our budget is the additional $2000.00 </w:t>
            </w:r>
            <w:r w:rsidR="004468DD" w:rsidRPr="004468DD">
              <w:lastRenderedPageBreak/>
              <w:t xml:space="preserve">requested to support faculty attendance at conferences and professional development opportunities beyond the capabilities of the IAP funds. Instructors will be asked to utilize IAP funds before requesting support. Requests will be supported on a first come, first served basis until the budget is exhausted.  </w:t>
            </w:r>
          </w:p>
          <w:p w14:paraId="3B62803F" w14:textId="23D89A96" w:rsidR="00A501EF" w:rsidRDefault="004468DD" w:rsidP="00A501EF">
            <w:pPr>
              <w:pStyle w:val="ListParagraph"/>
              <w:ind w:left="360"/>
            </w:pPr>
            <w:r w:rsidRPr="004468DD">
              <w:t>Faculty are also greatly appreciative of the continued support of the administration through IAP funds.</w:t>
            </w:r>
          </w:p>
          <w:p w14:paraId="6C739B7B" w14:textId="309A87D7" w:rsidR="009D6F72" w:rsidRDefault="00004BD8" w:rsidP="00A501EF">
            <w:pPr>
              <w:pStyle w:val="ListParagraph"/>
              <w:numPr>
                <w:ilvl w:val="1"/>
                <w:numId w:val="18"/>
              </w:numPr>
            </w:pPr>
            <w:r w:rsidRPr="00004BD8">
              <w:t>Because there are some areas where part time faculty able to teach day classes are hard to find, we are sometimes limited at Jefferson in the number of courses we can offer. We continue to search for qualified instructors and will respectfully request permission to hire new full-time instructors as enrollment warrants.</w:t>
            </w:r>
          </w:p>
          <w:p w14:paraId="7FA19816" w14:textId="79E44AB4" w:rsidR="009D6F72" w:rsidRDefault="009D6F72" w:rsidP="009D6F72"/>
        </w:tc>
      </w:tr>
      <w:tr w:rsidR="00F26A57" w14:paraId="1E0BB2F5" w14:textId="77777777" w:rsidTr="007B0814">
        <w:trPr>
          <w:trHeight w:val="54"/>
        </w:trPr>
        <w:tc>
          <w:tcPr>
            <w:tcW w:w="3294" w:type="dxa"/>
            <w:tcBorders>
              <w:right w:val="single" w:sz="6" w:space="0" w:color="auto"/>
            </w:tcBorders>
          </w:tcPr>
          <w:p w14:paraId="485FECE4" w14:textId="607F439B" w:rsidR="00F26A57" w:rsidRDefault="004E692A" w:rsidP="007B0814">
            <w:r>
              <w:rPr>
                <w:rStyle w:val="normaltextrun"/>
                <w:rFonts w:ascii="Calibri" w:hAnsi="Calibri" w:cs="Calibri"/>
                <w:b/>
                <w:bCs/>
                <w:color w:val="000000"/>
                <w:shd w:val="clear" w:color="auto" w:fill="FFFFFF"/>
              </w:rPr>
              <w:lastRenderedPageBreak/>
              <w:t>Goal 2: Provide academic, developmental, and support services to assist students in achieving their academic goals, as well as fostering intellectual inquiry and creative growth.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230FC29E" w14:textId="77777777" w:rsidR="00F26A57" w:rsidRDefault="00F26A57" w:rsidP="007B0814"/>
          <w:p w14:paraId="2EA9EE6F" w14:textId="77777777" w:rsidR="00F26A57" w:rsidRDefault="00F26A57" w:rsidP="007B0814"/>
        </w:tc>
        <w:tc>
          <w:tcPr>
            <w:tcW w:w="3294" w:type="dxa"/>
            <w:tcBorders>
              <w:left w:val="single" w:sz="6" w:space="0" w:color="auto"/>
              <w:right w:val="single" w:sz="4" w:space="0" w:color="auto"/>
            </w:tcBorders>
          </w:tcPr>
          <w:p w14:paraId="75079A8C" w14:textId="4940D7DA" w:rsidR="005F7F33" w:rsidRDefault="007E6E28" w:rsidP="002B7A08">
            <w:pPr>
              <w:pStyle w:val="ListParagraph"/>
              <w:numPr>
                <w:ilvl w:val="1"/>
                <w:numId w:val="5"/>
              </w:numPr>
            </w:pPr>
            <w:r>
              <w:lastRenderedPageBreak/>
              <w:t xml:space="preserve">Support student organizations and programs to foster intellectual inquiry and creative growth. </w:t>
            </w:r>
          </w:p>
          <w:p w14:paraId="57A5AEF2" w14:textId="47F00C4D" w:rsidR="008A2223" w:rsidRDefault="002D5696" w:rsidP="002B7A08">
            <w:pPr>
              <w:pStyle w:val="ListParagraph"/>
              <w:numPr>
                <w:ilvl w:val="1"/>
                <w:numId w:val="5"/>
              </w:numPr>
            </w:pPr>
            <w:r>
              <w:t xml:space="preserve">Purchase sanitation supplies (hand sanitizer dispensers, </w:t>
            </w:r>
            <w:r>
              <w:lastRenderedPageBreak/>
              <w:t xml:space="preserve">refill sanitizer packs, </w:t>
            </w:r>
            <w:r w:rsidR="000013C2">
              <w:t xml:space="preserve">wipes) for cleaning classrooms. </w:t>
            </w:r>
          </w:p>
          <w:p w14:paraId="482CD34B" w14:textId="05EAA8C9" w:rsidR="002B7A08" w:rsidRDefault="002B7A08" w:rsidP="007B0814"/>
        </w:tc>
        <w:tc>
          <w:tcPr>
            <w:tcW w:w="3294" w:type="dxa"/>
            <w:tcBorders>
              <w:left w:val="single" w:sz="4" w:space="0" w:color="auto"/>
              <w:right w:val="single" w:sz="6" w:space="0" w:color="auto"/>
            </w:tcBorders>
          </w:tcPr>
          <w:p w14:paraId="4DE26322" w14:textId="402F0705" w:rsidR="00BE0236" w:rsidRDefault="00964892" w:rsidP="00C33D0A">
            <w:pPr>
              <w:pStyle w:val="ListParagraph"/>
              <w:numPr>
                <w:ilvl w:val="1"/>
                <w:numId w:val="8"/>
              </w:numPr>
            </w:pPr>
            <w:r>
              <w:lastRenderedPageBreak/>
              <w:t>No organizations (Choir, Art and Animation Guild) requested financial support during the</w:t>
            </w:r>
            <w:r w:rsidR="00292A4F">
              <w:t xml:space="preserve"> year of being virtual. </w:t>
            </w:r>
          </w:p>
          <w:p w14:paraId="7AB2BC35" w14:textId="1A1F742E" w:rsidR="000961A5" w:rsidRDefault="00A00794" w:rsidP="00C33D0A">
            <w:pPr>
              <w:pStyle w:val="ListParagraph"/>
              <w:numPr>
                <w:ilvl w:val="1"/>
                <w:numId w:val="8"/>
              </w:numPr>
            </w:pPr>
            <w:r>
              <w:t xml:space="preserve">Maintenance </w:t>
            </w:r>
            <w:r w:rsidR="00D0111B">
              <w:t xml:space="preserve">provided the </w:t>
            </w:r>
            <w:r w:rsidR="00D0111B">
              <w:lastRenderedPageBreak/>
              <w:t xml:space="preserve">supplies for sanitation and cleaning; therefore, no department funds were utilized to fulfill this goal. </w:t>
            </w:r>
          </w:p>
        </w:tc>
        <w:tc>
          <w:tcPr>
            <w:tcW w:w="3294" w:type="dxa"/>
            <w:tcBorders>
              <w:left w:val="single" w:sz="6" w:space="0" w:color="auto"/>
            </w:tcBorders>
          </w:tcPr>
          <w:p w14:paraId="21B66800" w14:textId="22DC25CF" w:rsidR="008F7A39" w:rsidRDefault="0082318C" w:rsidP="00C33D0A">
            <w:pPr>
              <w:pStyle w:val="ListParagraph"/>
              <w:numPr>
                <w:ilvl w:val="1"/>
                <w:numId w:val="9"/>
              </w:numPr>
            </w:pPr>
            <w:r>
              <w:lastRenderedPageBreak/>
              <w:t xml:space="preserve">The </w:t>
            </w:r>
            <w:r w:rsidR="00292A4F">
              <w:t>Liberal Arts</w:t>
            </w:r>
            <w:r>
              <w:t xml:space="preserve"> Department will continue to request funds each year </w:t>
            </w:r>
            <w:r w:rsidR="00242DA8">
              <w:t xml:space="preserve">to support student organizations and events relating to </w:t>
            </w:r>
            <w:r w:rsidR="00292A4F">
              <w:t>Liberal Arts</w:t>
            </w:r>
            <w:r w:rsidR="00242DA8">
              <w:t xml:space="preserve">. </w:t>
            </w:r>
          </w:p>
          <w:p w14:paraId="35EB46E6" w14:textId="5D3B25C8" w:rsidR="00D0111B" w:rsidRDefault="006A602F" w:rsidP="00C33D0A">
            <w:pPr>
              <w:pStyle w:val="ListParagraph"/>
              <w:numPr>
                <w:ilvl w:val="1"/>
                <w:numId w:val="9"/>
              </w:numPr>
            </w:pPr>
            <w:r>
              <w:t xml:space="preserve">This goal will not be included </w:t>
            </w:r>
            <w:r>
              <w:lastRenderedPageBreak/>
              <w:t xml:space="preserve">in the next strategic plan or budget. </w:t>
            </w:r>
          </w:p>
        </w:tc>
      </w:tr>
      <w:tr w:rsidR="00F26A57" w14:paraId="12935459" w14:textId="77777777" w:rsidTr="007B0814">
        <w:trPr>
          <w:trHeight w:val="54"/>
        </w:trPr>
        <w:tc>
          <w:tcPr>
            <w:tcW w:w="3294" w:type="dxa"/>
            <w:tcBorders>
              <w:right w:val="single" w:sz="6" w:space="0" w:color="auto"/>
            </w:tcBorders>
          </w:tcPr>
          <w:p w14:paraId="41DD2CD5" w14:textId="0432E67B" w:rsidR="00F26A57" w:rsidRDefault="004E692A" w:rsidP="007B0814">
            <w:r>
              <w:rPr>
                <w:rStyle w:val="normaltextrun"/>
                <w:rFonts w:ascii="Calibri" w:hAnsi="Calibri" w:cs="Calibri"/>
                <w:b/>
                <w:bCs/>
                <w:color w:val="000000"/>
                <w:shd w:val="clear" w:color="auto" w:fill="FFFFFF"/>
              </w:rPr>
              <w:lastRenderedPageBreak/>
              <w:t>Goal 3: Maintain classroom and office equipment and supplies to enhance the quality of instruction and improve student learning.</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5D0DBA53" w14:textId="77777777" w:rsidR="00F26A57" w:rsidRDefault="00F26A57" w:rsidP="007B0814"/>
          <w:p w14:paraId="72B1DEE9" w14:textId="77777777" w:rsidR="00F26A57" w:rsidRDefault="00F26A57" w:rsidP="007B0814"/>
        </w:tc>
        <w:tc>
          <w:tcPr>
            <w:tcW w:w="3294" w:type="dxa"/>
            <w:tcBorders>
              <w:left w:val="single" w:sz="6" w:space="0" w:color="auto"/>
              <w:right w:val="single" w:sz="4" w:space="0" w:color="auto"/>
            </w:tcBorders>
          </w:tcPr>
          <w:p w14:paraId="1F7536C8" w14:textId="7EF608FC" w:rsidR="00F26A57" w:rsidRDefault="0008679C" w:rsidP="00C95E66">
            <w:pPr>
              <w:pStyle w:val="ListParagraph"/>
              <w:numPr>
                <w:ilvl w:val="1"/>
                <w:numId w:val="13"/>
              </w:numPr>
            </w:pPr>
            <w:r>
              <w:t xml:space="preserve">Replace student desks in BDH </w:t>
            </w:r>
            <w:r w:rsidR="00AF0409">
              <w:t>208</w:t>
            </w:r>
            <w:r w:rsidR="005777BC">
              <w:t xml:space="preserve"> with new student desks and chairs. </w:t>
            </w:r>
          </w:p>
          <w:p w14:paraId="7C00DBC3" w14:textId="77777777" w:rsidR="005777BC" w:rsidRDefault="00C95E66" w:rsidP="00C95E66">
            <w:pPr>
              <w:pStyle w:val="ListParagraph"/>
              <w:numPr>
                <w:ilvl w:val="1"/>
                <w:numId w:val="13"/>
              </w:numPr>
            </w:pPr>
            <w:r>
              <w:t>Replace the instructor desks in BDH 222 and 237 with a new instructor table</w:t>
            </w:r>
            <w:r w:rsidR="00AD6508">
              <w:t xml:space="preserve">/media station/lectern combination unit. </w:t>
            </w:r>
          </w:p>
          <w:p w14:paraId="663B6F43" w14:textId="46D6DD95" w:rsidR="000E5853" w:rsidRDefault="000E5853" w:rsidP="00C95E66">
            <w:pPr>
              <w:pStyle w:val="ListParagraph"/>
              <w:numPr>
                <w:ilvl w:val="1"/>
                <w:numId w:val="13"/>
              </w:numPr>
            </w:pPr>
            <w:r>
              <w:t xml:space="preserve">Add room darkening shades to classroom windows in BDH </w:t>
            </w:r>
            <w:r w:rsidR="00705954">
              <w:t>216</w:t>
            </w:r>
            <w:r w:rsidR="00376DBD">
              <w:t>, and CH 300 and 301</w:t>
            </w:r>
            <w:r>
              <w:t xml:space="preserve">. </w:t>
            </w:r>
          </w:p>
          <w:p w14:paraId="62910346" w14:textId="77777777" w:rsidR="00F703A9" w:rsidRDefault="00F703A9" w:rsidP="00C95E66">
            <w:pPr>
              <w:pStyle w:val="ListParagraph"/>
              <w:numPr>
                <w:ilvl w:val="1"/>
                <w:numId w:val="13"/>
              </w:numPr>
            </w:pPr>
            <w:r>
              <w:t xml:space="preserve">Create an Emergency Replacement Fund for faculty technology (office computers and laptops) that fail unexpectedly. </w:t>
            </w:r>
          </w:p>
          <w:p w14:paraId="76859EF3" w14:textId="77777777" w:rsidR="00060016" w:rsidRDefault="00060016" w:rsidP="00C95E66">
            <w:pPr>
              <w:pStyle w:val="ListParagraph"/>
              <w:numPr>
                <w:ilvl w:val="1"/>
                <w:numId w:val="13"/>
              </w:numPr>
            </w:pPr>
            <w:r>
              <w:t xml:space="preserve">Complete the Student Common Area on the second floor of Bethune </w:t>
            </w:r>
            <w:proofErr w:type="spellStart"/>
            <w:r>
              <w:t>DeRamus</w:t>
            </w:r>
            <w:proofErr w:type="spellEnd"/>
            <w:r>
              <w:t xml:space="preserve"> Hall. </w:t>
            </w:r>
          </w:p>
          <w:p w14:paraId="52E2B57F" w14:textId="77777777" w:rsidR="00CD3588" w:rsidRDefault="00CD3588" w:rsidP="00C95E66">
            <w:pPr>
              <w:pStyle w:val="ListParagraph"/>
              <w:numPr>
                <w:ilvl w:val="1"/>
                <w:numId w:val="13"/>
              </w:numPr>
            </w:pPr>
            <w:r>
              <w:t>Purchase a microwave oven</w:t>
            </w:r>
            <w:r w:rsidR="00182E17">
              <w:t xml:space="preserve"> stand or cart</w:t>
            </w:r>
            <w:r>
              <w:t xml:space="preserve"> for student use to be housed in BDH. </w:t>
            </w:r>
            <w:r w:rsidR="00A1116D">
              <w:t>A cabinet</w:t>
            </w:r>
            <w:r w:rsidR="00D04055">
              <w:t xml:space="preserve"> is listed for purchase in the Liberal Arts Strategic Plan. </w:t>
            </w:r>
          </w:p>
          <w:p w14:paraId="791ED372" w14:textId="77777777" w:rsidR="00376DBD" w:rsidRDefault="007D2DF9" w:rsidP="00C95E66">
            <w:pPr>
              <w:pStyle w:val="ListParagraph"/>
              <w:numPr>
                <w:ilvl w:val="1"/>
                <w:numId w:val="13"/>
              </w:numPr>
            </w:pPr>
            <w:r>
              <w:t>Purchase Display Frames for the Art Department to display</w:t>
            </w:r>
            <w:r w:rsidR="00156C76">
              <w:t xml:space="preserve"> student art. </w:t>
            </w:r>
          </w:p>
          <w:p w14:paraId="2CC18BE7" w14:textId="3E3BDA80" w:rsidR="009A1E51" w:rsidRDefault="009A1E51" w:rsidP="00C95E66">
            <w:pPr>
              <w:pStyle w:val="ListParagraph"/>
              <w:numPr>
                <w:ilvl w:val="1"/>
                <w:numId w:val="13"/>
              </w:numPr>
            </w:pPr>
            <w:r>
              <w:t xml:space="preserve">Support the Art Department </w:t>
            </w:r>
            <w:r>
              <w:lastRenderedPageBreak/>
              <w:t xml:space="preserve">through the </w:t>
            </w:r>
            <w:r w:rsidR="009B1E9B">
              <w:t xml:space="preserve">renewal of the ACME Network Yearly animation fee and the Adobe Animate Suite CS20 license. </w:t>
            </w:r>
          </w:p>
        </w:tc>
        <w:tc>
          <w:tcPr>
            <w:tcW w:w="3294" w:type="dxa"/>
            <w:tcBorders>
              <w:left w:val="single" w:sz="4" w:space="0" w:color="auto"/>
              <w:right w:val="single" w:sz="6" w:space="0" w:color="auto"/>
            </w:tcBorders>
          </w:tcPr>
          <w:p w14:paraId="1AE62E22" w14:textId="656E60DB" w:rsidR="00F26A57" w:rsidRDefault="005777BC" w:rsidP="00B21056">
            <w:pPr>
              <w:pStyle w:val="ListParagraph"/>
              <w:numPr>
                <w:ilvl w:val="1"/>
                <w:numId w:val="16"/>
              </w:numPr>
            </w:pPr>
            <w:r>
              <w:lastRenderedPageBreak/>
              <w:t xml:space="preserve">This </w:t>
            </w:r>
            <w:hyperlink w:anchor="_Replacement_Student_Chairs," w:history="1">
              <w:r w:rsidRPr="00B95000">
                <w:rPr>
                  <w:rStyle w:val="Hyperlink"/>
                </w:rPr>
                <w:t>goal</w:t>
              </w:r>
            </w:hyperlink>
            <w:r>
              <w:t xml:space="preserve"> was achieved. </w:t>
            </w:r>
            <w:hyperlink w:anchor="_Photos_of_Products" w:history="1">
              <w:r w:rsidR="00AF0409">
                <w:rPr>
                  <w:rStyle w:val="Hyperlink"/>
                </w:rPr>
                <w:t>Forty</w:t>
              </w:r>
              <w:r w:rsidRPr="00B95000">
                <w:rPr>
                  <w:rStyle w:val="Hyperlink"/>
                </w:rPr>
                <w:t xml:space="preserve">-five student desks and </w:t>
              </w:r>
              <w:r w:rsidR="00AF0409">
                <w:rPr>
                  <w:rStyle w:val="Hyperlink"/>
                </w:rPr>
                <w:t>4</w:t>
              </w:r>
              <w:r w:rsidR="00D40564" w:rsidRPr="00B95000">
                <w:rPr>
                  <w:rStyle w:val="Hyperlink"/>
                </w:rPr>
                <w:t>7</w:t>
              </w:r>
              <w:r w:rsidR="00AD6508" w:rsidRPr="00B95000">
                <w:rPr>
                  <w:rStyle w:val="Hyperlink"/>
                </w:rPr>
                <w:t xml:space="preserve"> </w:t>
              </w:r>
              <w:r w:rsidRPr="00B95000">
                <w:rPr>
                  <w:rStyle w:val="Hyperlink"/>
                </w:rPr>
                <w:t>chairs</w:t>
              </w:r>
            </w:hyperlink>
            <w:r w:rsidR="00AE0DAF">
              <w:t xml:space="preserve"> (</w:t>
            </w:r>
            <w:r w:rsidR="00AF0409">
              <w:t>45</w:t>
            </w:r>
            <w:r w:rsidR="00AE0DAF">
              <w:t xml:space="preserve"> student +</w:t>
            </w:r>
            <w:r w:rsidR="00D40564">
              <w:t xml:space="preserve"> 2 instructor chairs)</w:t>
            </w:r>
            <w:r>
              <w:t xml:space="preserve"> were purchased to replace the old desks in BDH 2</w:t>
            </w:r>
            <w:r w:rsidR="00AF0409">
              <w:t>08</w:t>
            </w:r>
            <w:r>
              <w:t xml:space="preserve">. </w:t>
            </w:r>
          </w:p>
          <w:p w14:paraId="426F2DBD" w14:textId="5CDBF6E5" w:rsidR="005777BC" w:rsidRDefault="003B2A3F" w:rsidP="00B21056">
            <w:pPr>
              <w:pStyle w:val="ListParagraph"/>
              <w:numPr>
                <w:ilvl w:val="1"/>
                <w:numId w:val="16"/>
              </w:numPr>
            </w:pPr>
            <w:r>
              <w:t xml:space="preserve">This </w:t>
            </w:r>
            <w:hyperlink w:anchor="_Replacement_Student_Chairs," w:history="1">
              <w:r w:rsidRPr="00B95000">
                <w:rPr>
                  <w:rStyle w:val="Hyperlink"/>
                </w:rPr>
                <w:t>goal</w:t>
              </w:r>
            </w:hyperlink>
            <w:r>
              <w:t xml:space="preserve"> was achieved. Both</w:t>
            </w:r>
            <w:r w:rsidR="00AF0409">
              <w:t xml:space="preserve"> BDH 2</w:t>
            </w:r>
            <w:r w:rsidR="00356FFA">
              <w:t>08 and 216</w:t>
            </w:r>
            <w:r>
              <w:t xml:space="preserve"> classrooms received an upgraded </w:t>
            </w:r>
            <w:hyperlink w:anchor="_Photos_of_Products" w:history="1">
              <w:r w:rsidRPr="00B95000">
                <w:rPr>
                  <w:rStyle w:val="Hyperlink"/>
                </w:rPr>
                <w:t>instructor desk</w:t>
              </w:r>
            </w:hyperlink>
            <w:r w:rsidRPr="00B95000">
              <w:t xml:space="preserve"> set</w:t>
            </w:r>
            <w:r>
              <w:t xml:space="preserve"> up consisting of a workspace, media tower with locking storage</w:t>
            </w:r>
            <w:r w:rsidR="0013515E">
              <w:t>, and a lectern top.</w:t>
            </w:r>
          </w:p>
          <w:p w14:paraId="4FE0410F" w14:textId="77777777" w:rsidR="000E5853" w:rsidRDefault="000E5853" w:rsidP="00B21056">
            <w:pPr>
              <w:pStyle w:val="ListParagraph"/>
              <w:numPr>
                <w:ilvl w:val="1"/>
                <w:numId w:val="16"/>
              </w:numPr>
            </w:pPr>
            <w:r>
              <w:t>This goal was not achieved. The request was approved, but when inquiry was made</w:t>
            </w:r>
            <w:r w:rsidR="00D36B06">
              <w:t xml:space="preserve">, the department was informed the college had reached its allotment </w:t>
            </w:r>
            <w:r w:rsidR="007D0B88">
              <w:t xml:space="preserve">for this vendor. </w:t>
            </w:r>
          </w:p>
          <w:p w14:paraId="6FBDD55F" w14:textId="77777777" w:rsidR="00F703A9" w:rsidRDefault="00F703A9" w:rsidP="00B21056">
            <w:pPr>
              <w:pStyle w:val="ListParagraph"/>
              <w:numPr>
                <w:ilvl w:val="1"/>
                <w:numId w:val="16"/>
              </w:numPr>
            </w:pPr>
            <w:r>
              <w:t xml:space="preserve">In AY 2020-2021, we did not need to access these funds. </w:t>
            </w:r>
          </w:p>
          <w:p w14:paraId="44D70246" w14:textId="258AB730" w:rsidR="00367C7C" w:rsidRDefault="00367C7C" w:rsidP="00B21056">
            <w:pPr>
              <w:pStyle w:val="ListParagraph"/>
              <w:numPr>
                <w:ilvl w:val="1"/>
                <w:numId w:val="16"/>
              </w:numPr>
            </w:pPr>
            <w:r>
              <w:t xml:space="preserve">This </w:t>
            </w:r>
            <w:hyperlink w:anchor="_Concept_Drawings_of" w:history="1">
              <w:r w:rsidRPr="00A1116D">
                <w:rPr>
                  <w:rStyle w:val="Hyperlink"/>
                </w:rPr>
                <w:t>proposal</w:t>
              </w:r>
            </w:hyperlink>
            <w:r>
              <w:t xml:space="preserve"> was submitted in 2019; however, no action has been taken to bring this to fruition. </w:t>
            </w:r>
          </w:p>
          <w:p w14:paraId="5C03B869" w14:textId="77777777" w:rsidR="00CD3588" w:rsidRDefault="0050636F" w:rsidP="00B21056">
            <w:pPr>
              <w:pStyle w:val="ListParagraph"/>
              <w:numPr>
                <w:ilvl w:val="1"/>
                <w:numId w:val="16"/>
              </w:numPr>
            </w:pPr>
            <w:r>
              <w:t xml:space="preserve">This goal was not achieved due to courses being offered mostly online during AY 2020-2021. </w:t>
            </w:r>
          </w:p>
          <w:p w14:paraId="69951082" w14:textId="77777777" w:rsidR="00156C76" w:rsidRDefault="00156C76" w:rsidP="00B21056">
            <w:pPr>
              <w:pStyle w:val="ListParagraph"/>
              <w:numPr>
                <w:ilvl w:val="1"/>
                <w:numId w:val="16"/>
              </w:numPr>
            </w:pPr>
            <w:r>
              <w:t xml:space="preserve">This goal was not achieved. </w:t>
            </w:r>
            <w:r>
              <w:lastRenderedPageBreak/>
              <w:t>There were no students on campus to observe the artwork, and all student art was submitted online</w:t>
            </w:r>
            <w:r w:rsidR="00E102CA">
              <w:t xml:space="preserve">. </w:t>
            </w:r>
          </w:p>
          <w:p w14:paraId="1820EF1E" w14:textId="13F0A514" w:rsidR="009B1E9B" w:rsidRDefault="009B1E9B" w:rsidP="00B21056">
            <w:pPr>
              <w:pStyle w:val="ListParagraph"/>
              <w:numPr>
                <w:ilvl w:val="1"/>
                <w:numId w:val="16"/>
              </w:numPr>
            </w:pPr>
            <w:r>
              <w:t xml:space="preserve">This goal was achieved. </w:t>
            </w:r>
          </w:p>
        </w:tc>
        <w:tc>
          <w:tcPr>
            <w:tcW w:w="3294" w:type="dxa"/>
            <w:tcBorders>
              <w:left w:val="single" w:sz="6" w:space="0" w:color="auto"/>
            </w:tcBorders>
          </w:tcPr>
          <w:p w14:paraId="681CE7C7" w14:textId="0CD8CC67" w:rsidR="00F26A57" w:rsidRDefault="0013515E" w:rsidP="00B21056">
            <w:pPr>
              <w:pStyle w:val="ListParagraph"/>
              <w:numPr>
                <w:ilvl w:val="1"/>
                <w:numId w:val="15"/>
              </w:numPr>
            </w:pPr>
            <w:r>
              <w:lastRenderedPageBreak/>
              <w:t>In AY 2021-2022, the department will seek to replace the student desks</w:t>
            </w:r>
            <w:r w:rsidR="00416F12">
              <w:t xml:space="preserve"> in BDH </w:t>
            </w:r>
            <w:r w:rsidR="00356FFA">
              <w:t>210</w:t>
            </w:r>
            <w:r w:rsidR="007F110E">
              <w:t xml:space="preserve"> with the same desk and chair set up to match those chosen for BDH 2</w:t>
            </w:r>
            <w:r w:rsidR="00356FFA">
              <w:t>08</w:t>
            </w:r>
            <w:r w:rsidR="007F110E">
              <w:t xml:space="preserve"> and 2</w:t>
            </w:r>
            <w:r w:rsidR="00356FFA">
              <w:t>16</w:t>
            </w:r>
            <w:r w:rsidR="007F110E">
              <w:t xml:space="preserve">. This will </w:t>
            </w:r>
            <w:r w:rsidR="0064105D">
              <w:t>continue</w:t>
            </w:r>
            <w:r w:rsidR="007F110E">
              <w:t xml:space="preserve"> the updating of the student furniture on the second floor of BDH</w:t>
            </w:r>
            <w:r w:rsidR="0064105D">
              <w:t xml:space="preserve">, leaving </w:t>
            </w:r>
            <w:r w:rsidR="007941C4">
              <w:t xml:space="preserve">only two rooms to outfit in the next two years. </w:t>
            </w:r>
          </w:p>
          <w:p w14:paraId="66201674" w14:textId="7C05225A" w:rsidR="00EE07F3" w:rsidRDefault="00EE07F3" w:rsidP="00B21056">
            <w:pPr>
              <w:pStyle w:val="ListParagraph"/>
              <w:numPr>
                <w:ilvl w:val="1"/>
                <w:numId w:val="15"/>
              </w:numPr>
            </w:pPr>
            <w:r>
              <w:t>The department will submit a request to replace the instructor desk set up in BDH</w:t>
            </w:r>
            <w:r w:rsidR="000D28C7">
              <w:t xml:space="preserve"> 220 to match those in BDH 222 and 237. </w:t>
            </w:r>
          </w:p>
          <w:p w14:paraId="6C03D326" w14:textId="58AD04A6" w:rsidR="007D0B88" w:rsidRDefault="00F703A9" w:rsidP="00B21056">
            <w:pPr>
              <w:pStyle w:val="ListParagraph"/>
              <w:numPr>
                <w:ilvl w:val="1"/>
                <w:numId w:val="15"/>
              </w:numPr>
            </w:pPr>
            <w:r>
              <w:t>The department</w:t>
            </w:r>
            <w:r w:rsidR="007D0B88">
              <w:t xml:space="preserve"> will resubmit this request and attempt to purchase earlier in the budget yea</w:t>
            </w:r>
            <w:r>
              <w:t xml:space="preserve">r. </w:t>
            </w:r>
          </w:p>
          <w:p w14:paraId="00983D22" w14:textId="6BE9505C" w:rsidR="00F703A9" w:rsidRDefault="005055A8" w:rsidP="00B21056">
            <w:pPr>
              <w:pStyle w:val="ListParagraph"/>
              <w:numPr>
                <w:ilvl w:val="1"/>
                <w:numId w:val="15"/>
              </w:numPr>
            </w:pPr>
            <w:r>
              <w:t xml:space="preserve">The department will continue to request approval to replace failing instructor computers on an as needed basis. This request will be made separate from the regular replacement schedule provided by IT. </w:t>
            </w:r>
          </w:p>
          <w:p w14:paraId="70BCD520" w14:textId="6983F8F3" w:rsidR="001C6AF1" w:rsidRDefault="001C6AF1" w:rsidP="00B21056">
            <w:pPr>
              <w:pStyle w:val="ListParagraph"/>
              <w:numPr>
                <w:ilvl w:val="1"/>
                <w:numId w:val="15"/>
              </w:numPr>
            </w:pPr>
            <w:r>
              <w:t xml:space="preserve">The department believes a student area is necessary and </w:t>
            </w:r>
            <w:r>
              <w:lastRenderedPageBreak/>
              <w:t>needed by our students. BDH houses</w:t>
            </w:r>
            <w:r w:rsidR="00FD0C28">
              <w:t xml:space="preserve"> students in both Communications and Liberal Arts, and we teach courses taken by almost every TSGS student. </w:t>
            </w:r>
            <w:r w:rsidR="00DE136C">
              <w:t>The requested items include seating, study space, and charging capabilities for phones and laptops. The department will resubmit this proposal</w:t>
            </w:r>
            <w:r w:rsidR="00CD3588">
              <w:t xml:space="preserve"> in the next strategic plan. </w:t>
            </w:r>
          </w:p>
          <w:p w14:paraId="06F26017" w14:textId="72C056B9" w:rsidR="0050636F" w:rsidRDefault="0066114E" w:rsidP="00B21056">
            <w:pPr>
              <w:pStyle w:val="ListParagraph"/>
              <w:numPr>
                <w:ilvl w:val="1"/>
                <w:numId w:val="15"/>
              </w:numPr>
            </w:pPr>
            <w:r>
              <w:t xml:space="preserve">Prior to the move to online instruction due to COVID, the only existing food option on campus was the Fitzgerald Deli. </w:t>
            </w:r>
            <w:r w:rsidR="00C83C59">
              <w:t>The Deli closed and will not reopen, leaving students with no options for meals other than vending machines while on campus. In addition, the</w:t>
            </w:r>
            <w:r w:rsidR="00965D26">
              <w:t xml:space="preserve"> Jefferson Campus </w:t>
            </w:r>
            <w:r w:rsidR="0073785E">
              <w:t>is in</w:t>
            </w:r>
            <w:r w:rsidR="00965D26">
              <w:t xml:space="preserve"> a food desert with very few options available to students. The de</w:t>
            </w:r>
            <w:r w:rsidR="0073785E">
              <w:t>partment wants to provide a place for students to heat food they may bring from home</w:t>
            </w:r>
            <w:r w:rsidR="00013AED">
              <w:t xml:space="preserve"> to eat while on campus. This request will be resubmitted. </w:t>
            </w:r>
          </w:p>
          <w:p w14:paraId="57CBEF3E" w14:textId="11F9B5A7" w:rsidR="00E102CA" w:rsidRDefault="00E102CA" w:rsidP="00B21056">
            <w:pPr>
              <w:pStyle w:val="ListParagraph"/>
              <w:numPr>
                <w:ilvl w:val="1"/>
                <w:numId w:val="15"/>
              </w:numPr>
            </w:pPr>
            <w:r>
              <w:t xml:space="preserve">These frames will be a nice addition to the Art Department. They are structured to easily change </w:t>
            </w:r>
            <w:r>
              <w:lastRenderedPageBreak/>
              <w:t xml:space="preserve">artwork as new work is submitted. This request will be resubmitted. </w:t>
            </w:r>
          </w:p>
          <w:p w14:paraId="33BA82CA" w14:textId="7F5D26E6" w:rsidR="009B1E9B" w:rsidRDefault="009B1E9B" w:rsidP="00B21056">
            <w:pPr>
              <w:pStyle w:val="ListParagraph"/>
              <w:numPr>
                <w:ilvl w:val="1"/>
                <w:numId w:val="15"/>
              </w:numPr>
            </w:pPr>
            <w:r>
              <w:t>In order to build the animation courses, the department must keep</w:t>
            </w:r>
            <w:r w:rsidR="00B32A85">
              <w:t xml:space="preserve"> technology and software licenses up-to-date and in alignment with industry standards. This request will continue to be submitted each year. </w:t>
            </w:r>
          </w:p>
          <w:p w14:paraId="42820F57" w14:textId="70C246A4" w:rsidR="00B21056" w:rsidRDefault="00B21056" w:rsidP="007B0814"/>
        </w:tc>
      </w:tr>
      <w:tr w:rsidR="00F26A57" w:rsidRPr="002A44E2" w14:paraId="68C0D031" w14:textId="77777777" w:rsidTr="007B0814">
        <w:tc>
          <w:tcPr>
            <w:tcW w:w="6588" w:type="dxa"/>
            <w:gridSpan w:val="2"/>
            <w:tcBorders>
              <w:right w:val="single" w:sz="4" w:space="0" w:color="auto"/>
            </w:tcBorders>
          </w:tcPr>
          <w:p w14:paraId="1F1D2FC8" w14:textId="77777777" w:rsidR="00F26A57" w:rsidRPr="002A44E2" w:rsidRDefault="00F26A57" w:rsidP="007B0814">
            <w:pPr>
              <w:rPr>
                <w:sz w:val="12"/>
                <w:szCs w:val="12"/>
              </w:rPr>
            </w:pPr>
          </w:p>
          <w:p w14:paraId="3DBEDD07" w14:textId="77777777" w:rsidR="00F26A57" w:rsidRPr="002A44E2" w:rsidRDefault="00F26A57" w:rsidP="007B0814">
            <w:pPr>
              <w:rPr>
                <w:b/>
                <w:sz w:val="12"/>
                <w:szCs w:val="12"/>
              </w:rPr>
            </w:pPr>
          </w:p>
          <w:p w14:paraId="5E32396C" w14:textId="48622621" w:rsidR="00F26A57" w:rsidRDefault="00F26A57" w:rsidP="007B0814">
            <w:r>
              <w:rPr>
                <w:b/>
              </w:rPr>
              <w:t>S</w:t>
            </w:r>
            <w:r w:rsidRPr="00D554AC">
              <w:rPr>
                <w:b/>
              </w:rPr>
              <w:t>ubmission date:</w:t>
            </w:r>
            <w:r w:rsidR="00013AED">
              <w:rPr>
                <w:b/>
              </w:rPr>
              <w:t xml:space="preserve"> August 24, 2021</w:t>
            </w:r>
          </w:p>
        </w:tc>
        <w:tc>
          <w:tcPr>
            <w:tcW w:w="6588" w:type="dxa"/>
            <w:gridSpan w:val="2"/>
            <w:tcBorders>
              <w:left w:val="single" w:sz="4" w:space="0" w:color="auto"/>
            </w:tcBorders>
          </w:tcPr>
          <w:p w14:paraId="47D1C2F2" w14:textId="77777777" w:rsidR="00F26A57" w:rsidRPr="00490115" w:rsidRDefault="00F26A57" w:rsidP="007B0814">
            <w:pPr>
              <w:rPr>
                <w:sz w:val="12"/>
                <w:szCs w:val="12"/>
              </w:rPr>
            </w:pPr>
          </w:p>
          <w:p w14:paraId="5530882B" w14:textId="77777777" w:rsidR="00F26A57" w:rsidRPr="00490115" w:rsidRDefault="00F26A57" w:rsidP="007B0814">
            <w:pPr>
              <w:rPr>
                <w:sz w:val="12"/>
                <w:szCs w:val="12"/>
              </w:rPr>
            </w:pPr>
          </w:p>
          <w:p w14:paraId="41E4B3AF" w14:textId="4DD4FA25" w:rsidR="00F26A57" w:rsidRDefault="00F26A57" w:rsidP="007B0814">
            <w:pPr>
              <w:rPr>
                <w:b/>
              </w:rPr>
            </w:pPr>
            <w:r w:rsidRPr="00102B7D">
              <w:rPr>
                <w:b/>
              </w:rPr>
              <w:t>Submitted by:</w:t>
            </w:r>
            <w:r w:rsidR="00013AED">
              <w:rPr>
                <w:b/>
              </w:rPr>
              <w:t xml:space="preserve"> </w:t>
            </w:r>
            <w:r w:rsidR="00A42570">
              <w:rPr>
                <w:b/>
              </w:rPr>
              <w:t>Liberal Arts</w:t>
            </w:r>
            <w:r w:rsidR="00013AED">
              <w:rPr>
                <w:b/>
              </w:rPr>
              <w:t xml:space="preserve"> Department, Jefferson Campus</w:t>
            </w:r>
          </w:p>
          <w:p w14:paraId="7DCE2726" w14:textId="77777777" w:rsidR="00F26A57" w:rsidRPr="002A44E2" w:rsidRDefault="00F26A57" w:rsidP="007B0814">
            <w:pPr>
              <w:rPr>
                <w:b/>
                <w:sz w:val="8"/>
                <w:szCs w:val="8"/>
              </w:rPr>
            </w:pPr>
          </w:p>
        </w:tc>
      </w:tr>
    </w:tbl>
    <w:p w14:paraId="47FFDD83" w14:textId="107B65B6" w:rsidR="00F26A57" w:rsidRDefault="00F26A57"/>
    <w:p w14:paraId="68F9A2B9" w14:textId="514F6B47" w:rsidR="00D34270" w:rsidRDefault="00D34270">
      <w:r>
        <w:br w:type="page"/>
      </w:r>
    </w:p>
    <w:p w14:paraId="6ED3670B" w14:textId="4BDA7B70" w:rsidR="00D34270" w:rsidRDefault="008D5E05" w:rsidP="00D34270">
      <w:pPr>
        <w:pStyle w:val="Heading1"/>
      </w:pPr>
      <w:bookmarkStart w:id="0" w:name="_Replacement_Student_Chairs,"/>
      <w:bookmarkEnd w:id="0"/>
      <w:r>
        <w:lastRenderedPageBreak/>
        <w:t>P.O</w:t>
      </w:r>
      <w:r w:rsidR="00C15111">
        <w:t xml:space="preserve">. for </w:t>
      </w:r>
      <w:r w:rsidR="00CB3404">
        <w:t>Replacement Student Chairs, Desks, and Instructor Desk Setup in Classrooms</w:t>
      </w:r>
    </w:p>
    <w:p w14:paraId="7479BB44" w14:textId="69937BEE" w:rsidR="00E07752" w:rsidRDefault="00F92008" w:rsidP="00CB3404">
      <w:r w:rsidRPr="00F92008">
        <w:rPr>
          <w:noProof/>
        </w:rPr>
        <w:drawing>
          <wp:inline distT="0" distB="0" distL="0" distR="0" wp14:anchorId="5A0637B8" wp14:editId="680835FD">
            <wp:extent cx="3848100" cy="438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54787" cy="4395398"/>
                    </a:xfrm>
                    <a:prstGeom prst="rect">
                      <a:avLst/>
                    </a:prstGeom>
                  </pic:spPr>
                </pic:pic>
              </a:graphicData>
            </a:graphic>
          </wp:inline>
        </w:drawing>
      </w:r>
      <w:r w:rsidR="00E07752">
        <w:t xml:space="preserve"> </w:t>
      </w:r>
    </w:p>
    <w:p w14:paraId="40769F64" w14:textId="77777777" w:rsidR="000F6EC8" w:rsidRDefault="000F6EC8" w:rsidP="00CB3404"/>
    <w:p w14:paraId="5C141D63" w14:textId="77777777" w:rsidR="000F6EC8" w:rsidRDefault="000F6EC8" w:rsidP="00CB3404"/>
    <w:p w14:paraId="5A539264" w14:textId="77777777" w:rsidR="000F6EC8" w:rsidRDefault="000F6EC8" w:rsidP="00CB3404"/>
    <w:p w14:paraId="1D0CEA28" w14:textId="11130516" w:rsidR="000F6EC8" w:rsidRDefault="00B95000" w:rsidP="00B95000">
      <w:pPr>
        <w:pStyle w:val="Heading1"/>
      </w:pPr>
      <w:bookmarkStart w:id="1" w:name="_Photos_of_Products"/>
      <w:bookmarkEnd w:id="1"/>
      <w:r>
        <w:lastRenderedPageBreak/>
        <w:t xml:space="preserve">Photos of Products Purchased. </w:t>
      </w:r>
    </w:p>
    <w:p w14:paraId="25F5EAE8" w14:textId="19CDE742" w:rsidR="00C2038C" w:rsidRDefault="00FB2C21" w:rsidP="00CB3404">
      <w:r w:rsidRPr="00FB2C21">
        <w:rPr>
          <w:noProof/>
        </w:rPr>
        <w:drawing>
          <wp:inline distT="0" distB="0" distL="0" distR="0" wp14:anchorId="46F69DBD" wp14:editId="7E0E2503">
            <wp:extent cx="7674005" cy="1935648"/>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74005" cy="1935648"/>
                    </a:xfrm>
                    <a:prstGeom prst="rect">
                      <a:avLst/>
                    </a:prstGeom>
                  </pic:spPr>
                </pic:pic>
              </a:graphicData>
            </a:graphic>
          </wp:inline>
        </w:drawing>
      </w:r>
    </w:p>
    <w:p w14:paraId="59F284B7" w14:textId="77777777" w:rsidR="000F6EC8" w:rsidRDefault="000F6EC8" w:rsidP="00CB3404"/>
    <w:p w14:paraId="1B263E14" w14:textId="17BE5846" w:rsidR="00E07752" w:rsidRDefault="000F6EC8" w:rsidP="00CB3404">
      <w:r w:rsidRPr="000F6EC8">
        <w:rPr>
          <w:noProof/>
        </w:rPr>
        <w:drawing>
          <wp:inline distT="0" distB="0" distL="0" distR="0" wp14:anchorId="71C5958A" wp14:editId="4406BC87">
            <wp:extent cx="7651143" cy="320067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1143" cy="3200677"/>
                    </a:xfrm>
                    <a:prstGeom prst="rect">
                      <a:avLst/>
                    </a:prstGeom>
                  </pic:spPr>
                </pic:pic>
              </a:graphicData>
            </a:graphic>
          </wp:inline>
        </w:drawing>
      </w:r>
    </w:p>
    <w:p w14:paraId="7C4D2E12" w14:textId="463A0831" w:rsidR="00C15111" w:rsidRDefault="00C15111" w:rsidP="00C15111">
      <w:pPr>
        <w:pStyle w:val="Heading1"/>
      </w:pPr>
      <w:bookmarkStart w:id="2" w:name="_Concept_Drawings_of"/>
      <w:bookmarkEnd w:id="2"/>
      <w:r>
        <w:lastRenderedPageBreak/>
        <w:t>Concept Drawings of Common Area Furniture</w:t>
      </w:r>
    </w:p>
    <w:p w14:paraId="3B5928DA" w14:textId="17944056" w:rsidR="00C15111" w:rsidRPr="00C15111" w:rsidRDefault="003E6649" w:rsidP="00C15111">
      <w:r>
        <w:rPr>
          <w:noProof/>
        </w:rPr>
        <w:drawing>
          <wp:inline distT="0" distB="0" distL="0" distR="0" wp14:anchorId="650CE413" wp14:editId="3B26527B">
            <wp:extent cx="2771775" cy="1566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683" cy="1591127"/>
                    </a:xfrm>
                    <a:prstGeom prst="rect">
                      <a:avLst/>
                    </a:prstGeom>
                    <a:noFill/>
                  </pic:spPr>
                </pic:pic>
              </a:graphicData>
            </a:graphic>
          </wp:inline>
        </w:drawing>
      </w:r>
      <w:r>
        <w:t xml:space="preserve"> </w:t>
      </w:r>
      <w:r w:rsidR="0003115B">
        <w:rPr>
          <w:noProof/>
        </w:rPr>
        <w:t xml:space="preserve">          </w:t>
      </w:r>
      <w:r w:rsidR="000A63CF">
        <w:rPr>
          <w:noProof/>
        </w:rPr>
        <w:drawing>
          <wp:inline distT="0" distB="0" distL="0" distR="0" wp14:anchorId="52BD2413" wp14:editId="73812C1E">
            <wp:extent cx="2217282" cy="1571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320" t="20005" r="17196"/>
                    <a:stretch/>
                  </pic:blipFill>
                  <pic:spPr bwMode="auto">
                    <a:xfrm>
                      <a:off x="0" y="0"/>
                      <a:ext cx="2238408" cy="1586599"/>
                    </a:xfrm>
                    <a:prstGeom prst="rect">
                      <a:avLst/>
                    </a:prstGeom>
                    <a:noFill/>
                    <a:ln>
                      <a:noFill/>
                    </a:ln>
                    <a:extLst>
                      <a:ext uri="{53640926-AAD7-44D8-BBD7-CCE9431645EC}">
                        <a14:shadowObscured xmlns:a14="http://schemas.microsoft.com/office/drawing/2010/main"/>
                      </a:ext>
                    </a:extLst>
                  </pic:spPr>
                </pic:pic>
              </a:graphicData>
            </a:graphic>
          </wp:inline>
        </w:drawing>
      </w:r>
      <w:r w:rsidR="00397BDD">
        <w:t xml:space="preserve"> </w:t>
      </w:r>
      <w:r w:rsidR="00397BDD" w:rsidRPr="00924665">
        <w:rPr>
          <w:noProof/>
        </w:rPr>
        <w:drawing>
          <wp:inline distT="0" distB="0" distL="0" distR="0" wp14:anchorId="16B44CF3" wp14:editId="04B31268">
            <wp:extent cx="2940050" cy="179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170" t="30371" r="14345"/>
                    <a:stretch/>
                  </pic:blipFill>
                  <pic:spPr bwMode="auto">
                    <a:xfrm>
                      <a:off x="0" y="0"/>
                      <a:ext cx="2973544" cy="1811100"/>
                    </a:xfrm>
                    <a:prstGeom prst="rect">
                      <a:avLst/>
                    </a:prstGeom>
                    <a:ln>
                      <a:noFill/>
                    </a:ln>
                    <a:extLst>
                      <a:ext uri="{53640926-AAD7-44D8-BBD7-CCE9431645EC}">
                        <a14:shadowObscured xmlns:a14="http://schemas.microsoft.com/office/drawing/2010/main"/>
                      </a:ext>
                    </a:extLst>
                  </pic:spPr>
                </pic:pic>
              </a:graphicData>
            </a:graphic>
          </wp:inline>
        </w:drawing>
      </w:r>
      <w:r w:rsidR="0003115B">
        <w:t xml:space="preserve"> </w:t>
      </w:r>
      <w:r w:rsidR="0003115B">
        <w:rPr>
          <w:noProof/>
        </w:rPr>
        <w:t xml:space="preserve">         </w:t>
      </w:r>
      <w:r w:rsidR="0003115B">
        <w:rPr>
          <w:noProof/>
        </w:rPr>
        <w:drawing>
          <wp:inline distT="0" distB="0" distL="0" distR="0" wp14:anchorId="116C0B3F" wp14:editId="78F83066">
            <wp:extent cx="1695450" cy="1695450"/>
            <wp:effectExtent l="0" t="0" r="0" b="0"/>
            <wp:docPr id="19" name="Picture 19" descr="12 Magazine or 24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Magazine or 24 Broch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sectPr w:rsidR="00C15111" w:rsidRPr="00C15111"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67962"/>
    <w:multiLevelType w:val="multilevel"/>
    <w:tmpl w:val="7E46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6C5EB8"/>
    <w:multiLevelType w:val="multilevel"/>
    <w:tmpl w:val="7E46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6A22F5"/>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350498"/>
    <w:multiLevelType w:val="multilevel"/>
    <w:tmpl w:val="7E46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2452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FA65EC"/>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E3464A3"/>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DD7F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82530E"/>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BF52D2"/>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7654C00"/>
    <w:multiLevelType w:val="multilevel"/>
    <w:tmpl w:val="7E46A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8945392"/>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7D02CB"/>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F763E7"/>
    <w:multiLevelType w:val="multilevel"/>
    <w:tmpl w:val="7E46A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6C6684D"/>
    <w:multiLevelType w:val="multilevel"/>
    <w:tmpl w:val="7E46A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1D238E"/>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7954C2"/>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0"/>
  </w:num>
  <w:num w:numId="3">
    <w:abstractNumId w:val="6"/>
  </w:num>
  <w:num w:numId="4">
    <w:abstractNumId w:val="0"/>
  </w:num>
  <w:num w:numId="5">
    <w:abstractNumId w:val="14"/>
  </w:num>
  <w:num w:numId="6">
    <w:abstractNumId w:val="8"/>
  </w:num>
  <w:num w:numId="7">
    <w:abstractNumId w:val="12"/>
  </w:num>
  <w:num w:numId="8">
    <w:abstractNumId w:val="15"/>
  </w:num>
  <w:num w:numId="9">
    <w:abstractNumId w:val="11"/>
  </w:num>
  <w:num w:numId="10">
    <w:abstractNumId w:val="5"/>
  </w:num>
  <w:num w:numId="11">
    <w:abstractNumId w:val="17"/>
  </w:num>
  <w:num w:numId="12">
    <w:abstractNumId w:val="16"/>
  </w:num>
  <w:num w:numId="13">
    <w:abstractNumId w:val="1"/>
  </w:num>
  <w:num w:numId="14">
    <w:abstractNumId w:val="3"/>
  </w:num>
  <w:num w:numId="15">
    <w:abstractNumId w:val="4"/>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13C2"/>
    <w:rsid w:val="00004BD8"/>
    <w:rsid w:val="00013AED"/>
    <w:rsid w:val="0003115B"/>
    <w:rsid w:val="00060016"/>
    <w:rsid w:val="0008679C"/>
    <w:rsid w:val="000961A5"/>
    <w:rsid w:val="000A63CF"/>
    <w:rsid w:val="000D28C7"/>
    <w:rsid w:val="000E1805"/>
    <w:rsid w:val="000E2045"/>
    <w:rsid w:val="000E5853"/>
    <w:rsid w:val="000F6EC8"/>
    <w:rsid w:val="0011147C"/>
    <w:rsid w:val="0013515E"/>
    <w:rsid w:val="001469FD"/>
    <w:rsid w:val="00156C76"/>
    <w:rsid w:val="00182E17"/>
    <w:rsid w:val="001C5409"/>
    <w:rsid w:val="001C6AF1"/>
    <w:rsid w:val="00242DA8"/>
    <w:rsid w:val="00292A4F"/>
    <w:rsid w:val="002A4B31"/>
    <w:rsid w:val="002B7A08"/>
    <w:rsid w:val="002D5696"/>
    <w:rsid w:val="002E40EA"/>
    <w:rsid w:val="00305BCA"/>
    <w:rsid w:val="00316A08"/>
    <w:rsid w:val="00335652"/>
    <w:rsid w:val="00356FFA"/>
    <w:rsid w:val="00367C7C"/>
    <w:rsid w:val="00376DBD"/>
    <w:rsid w:val="00397BDD"/>
    <w:rsid w:val="003B2A3F"/>
    <w:rsid w:val="003B6C20"/>
    <w:rsid w:val="003E6649"/>
    <w:rsid w:val="00416F12"/>
    <w:rsid w:val="004468DD"/>
    <w:rsid w:val="00494C4D"/>
    <w:rsid w:val="004C48B1"/>
    <w:rsid w:val="004C7EB5"/>
    <w:rsid w:val="004E1652"/>
    <w:rsid w:val="004E692A"/>
    <w:rsid w:val="004F60DA"/>
    <w:rsid w:val="005055A8"/>
    <w:rsid w:val="0050636F"/>
    <w:rsid w:val="0050665D"/>
    <w:rsid w:val="00537AB3"/>
    <w:rsid w:val="005777BC"/>
    <w:rsid w:val="005D67AC"/>
    <w:rsid w:val="005F7F33"/>
    <w:rsid w:val="0064105D"/>
    <w:rsid w:val="00655660"/>
    <w:rsid w:val="0066114E"/>
    <w:rsid w:val="006A602F"/>
    <w:rsid w:val="00705954"/>
    <w:rsid w:val="0073785E"/>
    <w:rsid w:val="00760A6D"/>
    <w:rsid w:val="00780E04"/>
    <w:rsid w:val="007941C4"/>
    <w:rsid w:val="007B0436"/>
    <w:rsid w:val="007D0B88"/>
    <w:rsid w:val="007D2DF9"/>
    <w:rsid w:val="007E6E28"/>
    <w:rsid w:val="007F110E"/>
    <w:rsid w:val="007F4E50"/>
    <w:rsid w:val="0082318C"/>
    <w:rsid w:val="008A2223"/>
    <w:rsid w:val="008D5E05"/>
    <w:rsid w:val="008F7A39"/>
    <w:rsid w:val="00964892"/>
    <w:rsid w:val="00965D26"/>
    <w:rsid w:val="00983930"/>
    <w:rsid w:val="009A1E51"/>
    <w:rsid w:val="009B1E9B"/>
    <w:rsid w:val="009D6F72"/>
    <w:rsid w:val="00A00794"/>
    <w:rsid w:val="00A1116D"/>
    <w:rsid w:val="00A421BD"/>
    <w:rsid w:val="00A42570"/>
    <w:rsid w:val="00A501EF"/>
    <w:rsid w:val="00A6387D"/>
    <w:rsid w:val="00A66C23"/>
    <w:rsid w:val="00AD6508"/>
    <w:rsid w:val="00AE0DAF"/>
    <w:rsid w:val="00AF0409"/>
    <w:rsid w:val="00AF3DB3"/>
    <w:rsid w:val="00B21056"/>
    <w:rsid w:val="00B32A85"/>
    <w:rsid w:val="00B95000"/>
    <w:rsid w:val="00BA5107"/>
    <w:rsid w:val="00BE0236"/>
    <w:rsid w:val="00C15111"/>
    <w:rsid w:val="00C2038C"/>
    <w:rsid w:val="00C2773E"/>
    <w:rsid w:val="00C33D0A"/>
    <w:rsid w:val="00C71796"/>
    <w:rsid w:val="00C83C59"/>
    <w:rsid w:val="00C95E66"/>
    <w:rsid w:val="00CB2622"/>
    <w:rsid w:val="00CB3404"/>
    <w:rsid w:val="00CD3588"/>
    <w:rsid w:val="00D0111B"/>
    <w:rsid w:val="00D04055"/>
    <w:rsid w:val="00D31CDE"/>
    <w:rsid w:val="00D34270"/>
    <w:rsid w:val="00D36B06"/>
    <w:rsid w:val="00D40564"/>
    <w:rsid w:val="00DE136C"/>
    <w:rsid w:val="00E07752"/>
    <w:rsid w:val="00E102CA"/>
    <w:rsid w:val="00E66084"/>
    <w:rsid w:val="00EA1DA2"/>
    <w:rsid w:val="00EB04FC"/>
    <w:rsid w:val="00EC3DD8"/>
    <w:rsid w:val="00EE07F3"/>
    <w:rsid w:val="00EE0A07"/>
    <w:rsid w:val="00F26A57"/>
    <w:rsid w:val="00F6355F"/>
    <w:rsid w:val="00F703A9"/>
    <w:rsid w:val="00F72500"/>
    <w:rsid w:val="00F76996"/>
    <w:rsid w:val="00F92008"/>
    <w:rsid w:val="00FB2C21"/>
    <w:rsid w:val="00FB6327"/>
    <w:rsid w:val="00FD0C28"/>
    <w:rsid w:val="00FD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56DB"/>
  <w15:docId w15:val="{F460A489-299B-48F9-A079-FFA43A9A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paragraph" w:styleId="Heading1">
    <w:name w:val="heading 1"/>
    <w:basedOn w:val="Normal"/>
    <w:next w:val="Normal"/>
    <w:link w:val="Heading1Char"/>
    <w:uiPriority w:val="9"/>
    <w:qFormat/>
    <w:rsid w:val="00D342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customStyle="1" w:styleId="normaltextrun">
    <w:name w:val="normaltextrun"/>
    <w:basedOn w:val="DefaultParagraphFont"/>
    <w:rsid w:val="00E66084"/>
  </w:style>
  <w:style w:type="character" w:customStyle="1" w:styleId="eop">
    <w:name w:val="eop"/>
    <w:basedOn w:val="DefaultParagraphFont"/>
    <w:rsid w:val="00E66084"/>
  </w:style>
  <w:style w:type="paragraph" w:styleId="ListParagraph">
    <w:name w:val="List Paragraph"/>
    <w:basedOn w:val="Normal"/>
    <w:uiPriority w:val="34"/>
    <w:qFormat/>
    <w:rsid w:val="00FB6327"/>
    <w:pPr>
      <w:ind w:left="720"/>
      <w:contextualSpacing/>
    </w:pPr>
  </w:style>
  <w:style w:type="character" w:customStyle="1" w:styleId="Heading1Char">
    <w:name w:val="Heading 1 Char"/>
    <w:basedOn w:val="DefaultParagraphFont"/>
    <w:link w:val="Heading1"/>
    <w:uiPriority w:val="9"/>
    <w:rsid w:val="00D342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3404"/>
    <w:rPr>
      <w:color w:val="0000FF" w:themeColor="hyperlink"/>
      <w:u w:val="single"/>
    </w:rPr>
  </w:style>
  <w:style w:type="character" w:styleId="UnresolvedMention">
    <w:name w:val="Unresolved Mention"/>
    <w:basedOn w:val="DefaultParagraphFont"/>
    <w:uiPriority w:val="99"/>
    <w:semiHidden/>
    <w:unhideWhenUsed/>
    <w:rsid w:val="00CB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1125</Words>
  <Characters>6418</Characters>
  <Application>Microsoft Office Word</Application>
  <DocSecurity>0</DocSecurity>
  <Lines>53</Lines>
  <Paragraphs>15</Paragraphs>
  <ScaleCrop>false</ScaleCrop>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2021-08-25T16:13:00Z</dcterms:created>
  <dcterms:modified xsi:type="dcterms:W3CDTF">2021-08-25T16:13:00Z</dcterms:modified>
</cp:coreProperties>
</file>