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1CB0"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11B9A09" w14:textId="77777777" w:rsidR="000E4844" w:rsidRPr="0060016E" w:rsidRDefault="000E4844" w:rsidP="00420086">
                            <w:pPr>
                              <w:jc w:val="center"/>
                              <w:rPr>
                                <w:b/>
                              </w:rPr>
                            </w:pPr>
                            <w:r>
                              <w:rPr>
                                <w:b/>
                              </w:rPr>
                              <w:t>Unit Strategic Plan</w:t>
                            </w:r>
                          </w:p>
                          <w:p w14:paraId="4AF12FD3" w14:textId="6D91F7BB" w:rsidR="000E4844" w:rsidRPr="0060016E" w:rsidRDefault="000E4844" w:rsidP="00420086">
                            <w:pPr>
                              <w:jc w:val="center"/>
                              <w:rPr>
                                <w:b/>
                              </w:rPr>
                            </w:pPr>
                            <w:r>
                              <w:rPr>
                                <w:b/>
                              </w:rPr>
                              <w:t>2021 - 2023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11B9A09" w14:textId="77777777" w:rsidR="000E4844" w:rsidRPr="0060016E" w:rsidRDefault="000E4844" w:rsidP="00420086">
                      <w:pPr>
                        <w:jc w:val="center"/>
                        <w:rPr>
                          <w:b/>
                        </w:rPr>
                      </w:pPr>
                      <w:r>
                        <w:rPr>
                          <w:b/>
                        </w:rPr>
                        <w:t>Unit Strategic Plan</w:t>
                      </w:r>
                    </w:p>
                    <w:p w14:paraId="4AF12FD3" w14:textId="6D91F7BB" w:rsidR="000E4844" w:rsidRPr="0060016E" w:rsidRDefault="000E4844" w:rsidP="00420086">
                      <w:pPr>
                        <w:jc w:val="center"/>
                        <w:rPr>
                          <w:b/>
                        </w:rPr>
                      </w:pPr>
                      <w:r>
                        <w:rPr>
                          <w:b/>
                        </w:rPr>
                        <w:t>2021 - 2023</w:t>
                      </w:r>
                    </w:p>
                  </w:txbxContent>
                </v:textbox>
              </v:shape>
            </w:pict>
          </mc:Fallback>
        </mc:AlternateContent>
      </w:r>
    </w:p>
    <w:p w14:paraId="21C48281" w14:textId="77777777" w:rsidR="00420086" w:rsidRDefault="00420086" w:rsidP="00420086"/>
    <w:p w14:paraId="0ACF41F8" w14:textId="77777777" w:rsidR="00420086" w:rsidRDefault="00420086" w:rsidP="00420086"/>
    <w:p w14:paraId="4C2275EC" w14:textId="77777777" w:rsidR="00420086" w:rsidRDefault="00420086" w:rsidP="00420086">
      <w:pPr>
        <w:rPr>
          <w:b/>
        </w:rPr>
      </w:pPr>
      <w:r w:rsidRPr="006F4F81">
        <w:rPr>
          <w:b/>
        </w:rPr>
        <w:t>Name of Program</w:t>
      </w:r>
      <w:r>
        <w:rPr>
          <w:b/>
        </w:rPr>
        <w:t>/Department</w:t>
      </w:r>
      <w:r w:rsidRPr="006F4F81">
        <w:rPr>
          <w:b/>
        </w:rPr>
        <w:t>:</w:t>
      </w:r>
      <w:r w:rsidR="00250F56">
        <w:rPr>
          <w:b/>
        </w:rPr>
        <w:t xml:space="preserve">   </w:t>
      </w:r>
      <w:bookmarkStart w:id="0" w:name="_Hlk80428163"/>
      <w:r w:rsidR="005B52EF">
        <w:t>Medical</w:t>
      </w:r>
      <w:r w:rsidR="00250F56" w:rsidRPr="00164BD0">
        <w:t xml:space="preserve"> Laboratory Technology</w:t>
      </w:r>
      <w:r w:rsidR="00755D86">
        <w:t>/Center for Professional, Career and Technical Education</w:t>
      </w:r>
    </w:p>
    <w:bookmarkEnd w:id="0"/>
    <w:p w14:paraId="6112CCBA" w14:textId="77777777" w:rsidR="00FB5550" w:rsidRDefault="00420086" w:rsidP="00FB5550">
      <w:pPr>
        <w:rPr>
          <w:b/>
        </w:rPr>
      </w:pPr>
      <w:r>
        <w:rPr>
          <w:b/>
        </w:rPr>
        <w:t>Mission Statement (for the program or department):</w:t>
      </w:r>
    </w:p>
    <w:p w14:paraId="2944EE4A" w14:textId="77777777" w:rsidR="00420086" w:rsidRPr="00FB5550" w:rsidRDefault="00250F56" w:rsidP="00FB5550">
      <w:pPr>
        <w:rPr>
          <w:b/>
        </w:rPr>
      </w:pPr>
      <w:r w:rsidRPr="00164BD0">
        <w:rPr>
          <w:rFonts w:eastAsia="Calibri" w:cs="Arial"/>
        </w:rPr>
        <w:t xml:space="preserve">The mission of the </w:t>
      </w:r>
      <w:r w:rsidR="005B52EF">
        <w:rPr>
          <w:rFonts w:eastAsia="Calibri" w:cs="Arial"/>
        </w:rPr>
        <w:t>Medical</w:t>
      </w:r>
      <w:r w:rsidRPr="00164BD0">
        <w:rPr>
          <w:rFonts w:eastAsia="Calibri" w:cs="Arial"/>
        </w:rPr>
        <w:t xml:space="preserve"> Laboratory Technology Program at Jefferson State Community College is to promote and maintain standards of quality for the services and the environment necessary for students to achieve their educational goals and to enhance the social, cognitive, and professional skills required for entry level employment as </w:t>
      </w:r>
      <w:r w:rsidR="005B52EF">
        <w:rPr>
          <w:rFonts w:eastAsia="Calibri" w:cs="Arial"/>
        </w:rPr>
        <w:t>Medical</w:t>
      </w:r>
      <w:r w:rsidRPr="00164BD0">
        <w:rPr>
          <w:rFonts w:eastAsia="Calibri" w:cs="Arial"/>
        </w:rPr>
        <w:t xml:space="preserve"> laboratory technicians (</w:t>
      </w:r>
      <w:r w:rsidR="005B52EF">
        <w:rPr>
          <w:rFonts w:eastAsia="Calibri" w:cs="Arial"/>
        </w:rPr>
        <w:t>MLT</w:t>
      </w:r>
      <w:r w:rsidRPr="00164BD0">
        <w:rPr>
          <w:rFonts w:eastAsia="Calibri" w:cs="Arial"/>
        </w:rPr>
        <w:t xml:space="preserve">s) in the healthcare community.  </w:t>
      </w:r>
    </w:p>
    <w:p w14:paraId="547643E1" w14:textId="77777777" w:rsidR="00420086" w:rsidRDefault="00481035" w:rsidP="00420086">
      <w:pPr>
        <w:rPr>
          <w:b/>
        </w:rPr>
      </w:pPr>
      <w:r>
        <w:rPr>
          <w:b/>
        </w:rPr>
        <w:t>Summary of Access, Productivity and Effectiveness (Including, but not limited to, program load, success rate, retention rate, completion rate</w:t>
      </w:r>
      <w:r w:rsidR="00C664F5">
        <w:rPr>
          <w:b/>
        </w:rPr>
        <w:t>, employer surveys, student surveys</w:t>
      </w:r>
      <w:r>
        <w:rPr>
          <w:b/>
        </w:rPr>
        <w:t>)</w:t>
      </w:r>
      <w:r w:rsidRPr="00481035">
        <w:rPr>
          <w:b/>
        </w:rPr>
        <w:t>:</w:t>
      </w:r>
    </w:p>
    <w:p w14:paraId="5816F504" w14:textId="77777777" w:rsidR="00CB56DD" w:rsidRDefault="00CB56DD" w:rsidP="00CB56DD">
      <w:pPr>
        <w:pStyle w:val="TOAHeading"/>
        <w:tabs>
          <w:tab w:val="clear" w:pos="9360"/>
          <w:tab w:val="left" w:pos="0"/>
          <w:tab w:val="left" w:pos="576"/>
          <w:tab w:val="left" w:pos="2976"/>
          <w:tab w:val="left" w:pos="4416"/>
          <w:tab w:val="left" w:pos="5856"/>
          <w:tab w:val="left" w:pos="6480"/>
        </w:tabs>
        <w:spacing w:before="60"/>
        <w:rPr>
          <w:rFonts w:asciiTheme="minorHAnsi" w:hAnsiTheme="minorHAnsi"/>
          <w:i/>
          <w:sz w:val="22"/>
          <w:szCs w:val="22"/>
        </w:rPr>
      </w:pPr>
      <w:r w:rsidRPr="00CB56DD">
        <w:rPr>
          <w:rFonts w:asciiTheme="minorHAnsi" w:hAnsiTheme="minorHAnsi"/>
          <w:i/>
          <w:sz w:val="22"/>
          <w:szCs w:val="22"/>
        </w:rPr>
        <w:t>College Career/Technical Education Performance Data</w:t>
      </w:r>
    </w:p>
    <w:p w14:paraId="03C271F9" w14:textId="77777777" w:rsidR="00636CFD" w:rsidRPr="00636CFD" w:rsidRDefault="00636CFD" w:rsidP="00636CFD">
      <w:pPr>
        <w:contextualSpacing/>
      </w:pPr>
      <w:r w:rsidRPr="00636CFD">
        <w:t>I. Number of Degrees Conferred: IPEDS</w:t>
      </w:r>
    </w:p>
    <w:p w14:paraId="4462A1CB" w14:textId="77777777" w:rsidR="00A831E7" w:rsidRDefault="00A831E7" w:rsidP="00CB56DD">
      <w:pPr>
        <w:tabs>
          <w:tab w:val="left" w:pos="0"/>
          <w:tab w:val="left" w:pos="576"/>
          <w:tab w:val="left" w:pos="2976"/>
          <w:tab w:val="left" w:pos="4416"/>
          <w:tab w:val="left" w:pos="5856"/>
          <w:tab w:val="left" w:pos="6480"/>
        </w:tabs>
        <w:suppressAutoHyphens/>
        <w:spacing w:line="240" w:lineRule="auto"/>
        <w:rPr>
          <w:i/>
        </w:rPr>
      </w:pPr>
    </w:p>
    <w:tbl>
      <w:tblPr>
        <w:tblStyle w:val="TableGrid"/>
        <w:tblW w:w="0" w:type="auto"/>
        <w:tblLook w:val="04A0" w:firstRow="1" w:lastRow="0" w:firstColumn="1" w:lastColumn="0" w:noHBand="0" w:noVBand="1"/>
      </w:tblPr>
      <w:tblGrid>
        <w:gridCol w:w="1870"/>
        <w:gridCol w:w="1870"/>
        <w:gridCol w:w="1870"/>
        <w:gridCol w:w="1870"/>
        <w:gridCol w:w="1870"/>
      </w:tblGrid>
      <w:tr w:rsidR="00A2303C" w14:paraId="1A07A049" w14:textId="77777777" w:rsidTr="00A2303C">
        <w:tc>
          <w:tcPr>
            <w:tcW w:w="1870" w:type="dxa"/>
          </w:tcPr>
          <w:p w14:paraId="7AA1D573" w14:textId="77777777" w:rsidR="00A2303C" w:rsidRPr="00636CFD" w:rsidRDefault="00A2303C" w:rsidP="00A2303C">
            <w:pPr>
              <w:rPr>
                <w:b/>
              </w:rPr>
            </w:pPr>
            <w:r w:rsidRPr="00636CFD">
              <w:rPr>
                <w:b/>
              </w:rPr>
              <w:t xml:space="preserve">CIP </w:t>
            </w:r>
          </w:p>
          <w:p w14:paraId="1729357A" w14:textId="2D868454" w:rsidR="00A2303C" w:rsidRDefault="00A2303C" w:rsidP="00A2303C">
            <w:pPr>
              <w:tabs>
                <w:tab w:val="left" w:pos="0"/>
                <w:tab w:val="left" w:pos="576"/>
                <w:tab w:val="left" w:pos="2976"/>
                <w:tab w:val="left" w:pos="4416"/>
                <w:tab w:val="left" w:pos="5856"/>
                <w:tab w:val="left" w:pos="6480"/>
              </w:tabs>
              <w:suppressAutoHyphens/>
              <w:rPr>
                <w:i/>
              </w:rPr>
            </w:pPr>
            <w:r w:rsidRPr="00636CFD">
              <w:rPr>
                <w:b/>
              </w:rPr>
              <w:t>PROGRAM</w:t>
            </w:r>
          </w:p>
        </w:tc>
        <w:tc>
          <w:tcPr>
            <w:tcW w:w="1870" w:type="dxa"/>
          </w:tcPr>
          <w:p w14:paraId="424A744D" w14:textId="655D1496" w:rsidR="00A2303C" w:rsidRDefault="00A2303C" w:rsidP="00CB56DD">
            <w:pPr>
              <w:tabs>
                <w:tab w:val="left" w:pos="0"/>
                <w:tab w:val="left" w:pos="576"/>
                <w:tab w:val="left" w:pos="2976"/>
                <w:tab w:val="left" w:pos="4416"/>
                <w:tab w:val="left" w:pos="5856"/>
                <w:tab w:val="left" w:pos="6480"/>
              </w:tabs>
              <w:suppressAutoHyphens/>
              <w:rPr>
                <w:b/>
              </w:rPr>
            </w:pPr>
            <w:r>
              <w:rPr>
                <w:b/>
              </w:rPr>
              <w:t>SU 201</w:t>
            </w:r>
            <w:r w:rsidR="00A94615">
              <w:rPr>
                <w:b/>
              </w:rPr>
              <w:t>8</w:t>
            </w:r>
          </w:p>
          <w:p w14:paraId="22F548C9" w14:textId="71C68973" w:rsidR="00A2303C" w:rsidRPr="00A2303C" w:rsidRDefault="00A2303C" w:rsidP="00CB56DD">
            <w:pPr>
              <w:tabs>
                <w:tab w:val="left" w:pos="0"/>
                <w:tab w:val="left" w:pos="576"/>
                <w:tab w:val="left" w:pos="2976"/>
                <w:tab w:val="left" w:pos="4416"/>
                <w:tab w:val="left" w:pos="5856"/>
                <w:tab w:val="left" w:pos="6480"/>
              </w:tabs>
              <w:suppressAutoHyphens/>
              <w:rPr>
                <w:b/>
              </w:rPr>
            </w:pPr>
            <w:r>
              <w:rPr>
                <w:b/>
              </w:rPr>
              <w:t>SP 201</w:t>
            </w:r>
            <w:r w:rsidR="00A94615">
              <w:rPr>
                <w:b/>
              </w:rPr>
              <w:t>9</w:t>
            </w:r>
          </w:p>
        </w:tc>
        <w:tc>
          <w:tcPr>
            <w:tcW w:w="1870" w:type="dxa"/>
          </w:tcPr>
          <w:p w14:paraId="4DB34FE5" w14:textId="0C9608EE" w:rsidR="00A2303C" w:rsidRDefault="00A2303C" w:rsidP="00A2303C">
            <w:pPr>
              <w:rPr>
                <w:b/>
              </w:rPr>
            </w:pPr>
            <w:r>
              <w:rPr>
                <w:b/>
              </w:rPr>
              <w:t>SU 201</w:t>
            </w:r>
            <w:r w:rsidR="00A94615">
              <w:rPr>
                <w:b/>
              </w:rPr>
              <w:t>9</w:t>
            </w:r>
          </w:p>
          <w:p w14:paraId="36F61B17" w14:textId="065350FF" w:rsidR="00A2303C" w:rsidRDefault="00A2303C" w:rsidP="00A2303C">
            <w:pPr>
              <w:tabs>
                <w:tab w:val="left" w:pos="0"/>
                <w:tab w:val="left" w:pos="576"/>
                <w:tab w:val="left" w:pos="2976"/>
                <w:tab w:val="left" w:pos="4416"/>
                <w:tab w:val="left" w:pos="5856"/>
                <w:tab w:val="left" w:pos="6480"/>
              </w:tabs>
              <w:suppressAutoHyphens/>
              <w:rPr>
                <w:i/>
              </w:rPr>
            </w:pPr>
            <w:r>
              <w:rPr>
                <w:b/>
              </w:rPr>
              <w:t>SP20</w:t>
            </w:r>
            <w:r w:rsidR="00A94615">
              <w:rPr>
                <w:b/>
              </w:rPr>
              <w:t>20</w:t>
            </w:r>
          </w:p>
        </w:tc>
        <w:tc>
          <w:tcPr>
            <w:tcW w:w="1870" w:type="dxa"/>
          </w:tcPr>
          <w:p w14:paraId="5D44C1F1" w14:textId="30B2EEAF" w:rsidR="00A2303C" w:rsidRDefault="00A2303C" w:rsidP="00CB56DD">
            <w:pPr>
              <w:tabs>
                <w:tab w:val="left" w:pos="0"/>
                <w:tab w:val="left" w:pos="576"/>
                <w:tab w:val="left" w:pos="2976"/>
                <w:tab w:val="left" w:pos="4416"/>
                <w:tab w:val="left" w:pos="5856"/>
                <w:tab w:val="left" w:pos="6480"/>
              </w:tabs>
              <w:suppressAutoHyphens/>
              <w:rPr>
                <w:b/>
              </w:rPr>
            </w:pPr>
            <w:r>
              <w:rPr>
                <w:b/>
              </w:rPr>
              <w:t>SU 20</w:t>
            </w:r>
            <w:r w:rsidR="00A94615">
              <w:rPr>
                <w:b/>
              </w:rPr>
              <w:t>20</w:t>
            </w:r>
          </w:p>
          <w:p w14:paraId="1A7A138E" w14:textId="6554038E" w:rsidR="00A2303C" w:rsidRPr="00A2303C" w:rsidRDefault="00A2303C" w:rsidP="00CB56DD">
            <w:pPr>
              <w:tabs>
                <w:tab w:val="left" w:pos="0"/>
                <w:tab w:val="left" w:pos="576"/>
                <w:tab w:val="left" w:pos="2976"/>
                <w:tab w:val="left" w:pos="4416"/>
                <w:tab w:val="left" w:pos="5856"/>
                <w:tab w:val="left" w:pos="6480"/>
              </w:tabs>
              <w:suppressAutoHyphens/>
              <w:rPr>
                <w:b/>
              </w:rPr>
            </w:pPr>
            <w:r>
              <w:rPr>
                <w:b/>
              </w:rPr>
              <w:t>SP 20</w:t>
            </w:r>
            <w:r w:rsidR="00A94615">
              <w:rPr>
                <w:b/>
              </w:rPr>
              <w:t>21</w:t>
            </w:r>
          </w:p>
        </w:tc>
        <w:tc>
          <w:tcPr>
            <w:tcW w:w="1870" w:type="dxa"/>
          </w:tcPr>
          <w:p w14:paraId="584CEC07" w14:textId="6E0740CC" w:rsidR="00A2303C" w:rsidRPr="00A2303C" w:rsidRDefault="00A2303C" w:rsidP="00CB56DD">
            <w:pPr>
              <w:tabs>
                <w:tab w:val="left" w:pos="0"/>
                <w:tab w:val="left" w:pos="576"/>
                <w:tab w:val="left" w:pos="2976"/>
                <w:tab w:val="left" w:pos="4416"/>
                <w:tab w:val="left" w:pos="5856"/>
                <w:tab w:val="left" w:pos="6480"/>
              </w:tabs>
              <w:suppressAutoHyphens/>
              <w:rPr>
                <w:b/>
              </w:rPr>
            </w:pPr>
            <w:r>
              <w:rPr>
                <w:b/>
              </w:rPr>
              <w:t>Three-year average</w:t>
            </w:r>
          </w:p>
        </w:tc>
      </w:tr>
      <w:tr w:rsidR="00A2303C" w14:paraId="69267F7D" w14:textId="77777777" w:rsidTr="00A2303C">
        <w:tc>
          <w:tcPr>
            <w:tcW w:w="1870" w:type="dxa"/>
          </w:tcPr>
          <w:p w14:paraId="319CDEE5" w14:textId="419D286D" w:rsidR="00A2303C" w:rsidRDefault="00A2303C" w:rsidP="00A2303C">
            <w:pPr>
              <w:tabs>
                <w:tab w:val="left" w:pos="0"/>
                <w:tab w:val="left" w:pos="576"/>
                <w:tab w:val="left" w:pos="2976"/>
                <w:tab w:val="left" w:pos="4416"/>
                <w:tab w:val="left" w:pos="5856"/>
                <w:tab w:val="left" w:pos="6480"/>
              </w:tabs>
              <w:suppressAutoHyphens/>
              <w:rPr>
                <w:i/>
              </w:rPr>
            </w:pPr>
            <w:r w:rsidRPr="00636CFD">
              <w:rPr>
                <w:b/>
              </w:rPr>
              <w:t xml:space="preserve"> 51.1004</w:t>
            </w:r>
          </w:p>
        </w:tc>
        <w:tc>
          <w:tcPr>
            <w:tcW w:w="1870" w:type="dxa"/>
          </w:tcPr>
          <w:p w14:paraId="6A1FD0E1" w14:textId="4524A754" w:rsidR="00A2303C" w:rsidRDefault="00A2303C" w:rsidP="00A2303C">
            <w:pPr>
              <w:tabs>
                <w:tab w:val="left" w:pos="0"/>
                <w:tab w:val="left" w:pos="576"/>
                <w:tab w:val="left" w:pos="2976"/>
                <w:tab w:val="left" w:pos="4416"/>
                <w:tab w:val="left" w:pos="5856"/>
                <w:tab w:val="left" w:pos="6480"/>
              </w:tabs>
              <w:suppressAutoHyphens/>
              <w:rPr>
                <w:i/>
              </w:rPr>
            </w:pPr>
            <w:r>
              <w:rPr>
                <w:sz w:val="20"/>
                <w:szCs w:val="20"/>
              </w:rPr>
              <w:t>Degree</w:t>
            </w:r>
          </w:p>
        </w:tc>
        <w:tc>
          <w:tcPr>
            <w:tcW w:w="1870" w:type="dxa"/>
          </w:tcPr>
          <w:p w14:paraId="619D31D6" w14:textId="2A34112B" w:rsidR="00A2303C" w:rsidRDefault="00A2303C" w:rsidP="00A2303C">
            <w:pPr>
              <w:tabs>
                <w:tab w:val="left" w:pos="0"/>
                <w:tab w:val="left" w:pos="576"/>
                <w:tab w:val="left" w:pos="2976"/>
                <w:tab w:val="left" w:pos="4416"/>
                <w:tab w:val="left" w:pos="5856"/>
                <w:tab w:val="left" w:pos="6480"/>
              </w:tabs>
              <w:suppressAutoHyphens/>
              <w:rPr>
                <w:i/>
              </w:rPr>
            </w:pPr>
            <w:r>
              <w:rPr>
                <w:sz w:val="20"/>
                <w:szCs w:val="20"/>
              </w:rPr>
              <w:t>Degree</w:t>
            </w:r>
          </w:p>
        </w:tc>
        <w:tc>
          <w:tcPr>
            <w:tcW w:w="1870" w:type="dxa"/>
            <w:vAlign w:val="center"/>
          </w:tcPr>
          <w:p w14:paraId="668DC05F" w14:textId="2A835552" w:rsidR="00A2303C" w:rsidRDefault="00A2303C" w:rsidP="00A2303C">
            <w:pPr>
              <w:tabs>
                <w:tab w:val="left" w:pos="0"/>
                <w:tab w:val="left" w:pos="576"/>
                <w:tab w:val="left" w:pos="2976"/>
                <w:tab w:val="left" w:pos="4416"/>
                <w:tab w:val="left" w:pos="5856"/>
                <w:tab w:val="left" w:pos="6480"/>
              </w:tabs>
              <w:suppressAutoHyphens/>
              <w:rPr>
                <w:i/>
              </w:rPr>
            </w:pPr>
            <w:r w:rsidRPr="00636CFD">
              <w:rPr>
                <w:sz w:val="20"/>
                <w:szCs w:val="20"/>
              </w:rPr>
              <w:t>Degree</w:t>
            </w:r>
          </w:p>
        </w:tc>
        <w:tc>
          <w:tcPr>
            <w:tcW w:w="1870" w:type="dxa"/>
          </w:tcPr>
          <w:p w14:paraId="6719F059" w14:textId="77777777" w:rsidR="00A2303C" w:rsidRDefault="00A2303C" w:rsidP="00A2303C">
            <w:pPr>
              <w:tabs>
                <w:tab w:val="left" w:pos="0"/>
                <w:tab w:val="left" w:pos="576"/>
                <w:tab w:val="left" w:pos="2976"/>
                <w:tab w:val="left" w:pos="4416"/>
                <w:tab w:val="left" w:pos="5856"/>
                <w:tab w:val="left" w:pos="6480"/>
              </w:tabs>
              <w:suppressAutoHyphens/>
              <w:rPr>
                <w:i/>
              </w:rPr>
            </w:pPr>
          </w:p>
        </w:tc>
      </w:tr>
      <w:tr w:rsidR="00A2303C" w14:paraId="1D73ED1C" w14:textId="77777777" w:rsidTr="00A2303C">
        <w:tc>
          <w:tcPr>
            <w:tcW w:w="1870" w:type="dxa"/>
          </w:tcPr>
          <w:p w14:paraId="78676EFE" w14:textId="77777777" w:rsidR="00A2303C" w:rsidRDefault="00A2303C" w:rsidP="00A2303C">
            <w:pPr>
              <w:rPr>
                <w:b/>
              </w:rPr>
            </w:pPr>
            <w:r>
              <w:rPr>
                <w:b/>
              </w:rPr>
              <w:t>Medical</w:t>
            </w:r>
            <w:r w:rsidRPr="00636CFD">
              <w:rPr>
                <w:b/>
              </w:rPr>
              <w:t xml:space="preserve"> Laboratory Technology</w:t>
            </w:r>
          </w:p>
          <w:p w14:paraId="331A0D5F" w14:textId="77777777" w:rsidR="00A2303C" w:rsidRDefault="00A2303C" w:rsidP="00A2303C">
            <w:pPr>
              <w:rPr>
                <w:b/>
              </w:rPr>
            </w:pPr>
            <w:r>
              <w:rPr>
                <w:b/>
              </w:rPr>
              <w:t>AAS C242</w:t>
            </w:r>
          </w:p>
          <w:p w14:paraId="04F5D39A" w14:textId="77777777" w:rsidR="00A2303C" w:rsidRDefault="00A2303C" w:rsidP="00A2303C">
            <w:pPr>
              <w:tabs>
                <w:tab w:val="left" w:pos="0"/>
                <w:tab w:val="left" w:pos="576"/>
                <w:tab w:val="left" w:pos="2976"/>
                <w:tab w:val="left" w:pos="4416"/>
                <w:tab w:val="left" w:pos="5856"/>
                <w:tab w:val="left" w:pos="6480"/>
              </w:tabs>
              <w:suppressAutoHyphens/>
              <w:rPr>
                <w:i/>
              </w:rPr>
            </w:pPr>
          </w:p>
        </w:tc>
        <w:tc>
          <w:tcPr>
            <w:tcW w:w="1870" w:type="dxa"/>
          </w:tcPr>
          <w:p w14:paraId="4F3589EA" w14:textId="77777777" w:rsidR="00A2303C" w:rsidRDefault="00A2303C" w:rsidP="00A2303C">
            <w:pPr>
              <w:tabs>
                <w:tab w:val="left" w:pos="0"/>
                <w:tab w:val="left" w:pos="576"/>
                <w:tab w:val="left" w:pos="2976"/>
                <w:tab w:val="left" w:pos="4416"/>
                <w:tab w:val="left" w:pos="5856"/>
                <w:tab w:val="left" w:pos="6480"/>
              </w:tabs>
              <w:suppressAutoHyphens/>
              <w:rPr>
                <w:i/>
              </w:rPr>
            </w:pPr>
          </w:p>
          <w:p w14:paraId="65C371B7" w14:textId="3E8A096D" w:rsidR="00A2303C" w:rsidRPr="00A2303C" w:rsidRDefault="00A94615" w:rsidP="00A2303C">
            <w:pPr>
              <w:tabs>
                <w:tab w:val="left" w:pos="0"/>
                <w:tab w:val="left" w:pos="576"/>
                <w:tab w:val="left" w:pos="2976"/>
                <w:tab w:val="left" w:pos="4416"/>
                <w:tab w:val="left" w:pos="5856"/>
                <w:tab w:val="left" w:pos="6480"/>
              </w:tabs>
              <w:suppressAutoHyphens/>
            </w:pPr>
            <w:r>
              <w:t>14</w:t>
            </w:r>
          </w:p>
        </w:tc>
        <w:tc>
          <w:tcPr>
            <w:tcW w:w="1870" w:type="dxa"/>
          </w:tcPr>
          <w:p w14:paraId="680DB419" w14:textId="77777777" w:rsidR="00A2303C" w:rsidRDefault="00A2303C" w:rsidP="00A2303C">
            <w:pPr>
              <w:tabs>
                <w:tab w:val="left" w:pos="0"/>
                <w:tab w:val="left" w:pos="576"/>
                <w:tab w:val="left" w:pos="2976"/>
                <w:tab w:val="left" w:pos="4416"/>
                <w:tab w:val="left" w:pos="5856"/>
                <w:tab w:val="left" w:pos="6480"/>
              </w:tabs>
              <w:suppressAutoHyphens/>
            </w:pPr>
          </w:p>
          <w:p w14:paraId="15EE7138" w14:textId="08A37F67" w:rsidR="00ED1C74" w:rsidRPr="00A2303C" w:rsidRDefault="00ED1C74" w:rsidP="00A2303C">
            <w:pPr>
              <w:tabs>
                <w:tab w:val="left" w:pos="0"/>
                <w:tab w:val="left" w:pos="576"/>
                <w:tab w:val="left" w:pos="2976"/>
                <w:tab w:val="left" w:pos="4416"/>
                <w:tab w:val="left" w:pos="5856"/>
                <w:tab w:val="left" w:pos="6480"/>
              </w:tabs>
              <w:suppressAutoHyphens/>
            </w:pPr>
            <w:r>
              <w:t>17</w:t>
            </w:r>
          </w:p>
        </w:tc>
        <w:tc>
          <w:tcPr>
            <w:tcW w:w="1870" w:type="dxa"/>
          </w:tcPr>
          <w:p w14:paraId="606FAA08" w14:textId="77777777" w:rsidR="00A2303C" w:rsidRDefault="00A2303C" w:rsidP="00A2303C">
            <w:pPr>
              <w:tabs>
                <w:tab w:val="left" w:pos="0"/>
                <w:tab w:val="left" w:pos="576"/>
                <w:tab w:val="left" w:pos="2976"/>
                <w:tab w:val="left" w:pos="4416"/>
                <w:tab w:val="left" w:pos="5856"/>
                <w:tab w:val="left" w:pos="6480"/>
              </w:tabs>
              <w:suppressAutoHyphens/>
            </w:pPr>
          </w:p>
          <w:p w14:paraId="777A2EDB" w14:textId="07F7507D" w:rsidR="00ED1C74" w:rsidRPr="00A2303C" w:rsidRDefault="00ED1C74" w:rsidP="00A2303C">
            <w:pPr>
              <w:tabs>
                <w:tab w:val="left" w:pos="0"/>
                <w:tab w:val="left" w:pos="576"/>
                <w:tab w:val="left" w:pos="2976"/>
                <w:tab w:val="left" w:pos="4416"/>
                <w:tab w:val="left" w:pos="5856"/>
                <w:tab w:val="left" w:pos="6480"/>
              </w:tabs>
              <w:suppressAutoHyphens/>
            </w:pPr>
            <w:r>
              <w:t>22</w:t>
            </w:r>
          </w:p>
        </w:tc>
        <w:tc>
          <w:tcPr>
            <w:tcW w:w="1870" w:type="dxa"/>
          </w:tcPr>
          <w:p w14:paraId="2531B2E6" w14:textId="77777777" w:rsidR="00A2303C" w:rsidRDefault="00A2303C" w:rsidP="00A2303C">
            <w:pPr>
              <w:tabs>
                <w:tab w:val="left" w:pos="0"/>
                <w:tab w:val="left" w:pos="576"/>
                <w:tab w:val="left" w:pos="2976"/>
                <w:tab w:val="left" w:pos="4416"/>
                <w:tab w:val="left" w:pos="5856"/>
                <w:tab w:val="left" w:pos="6480"/>
              </w:tabs>
              <w:suppressAutoHyphens/>
            </w:pPr>
          </w:p>
          <w:p w14:paraId="25648CA2" w14:textId="3325EA59" w:rsidR="00ED1C74" w:rsidRPr="00A2303C" w:rsidRDefault="00ED1C74" w:rsidP="00A2303C">
            <w:pPr>
              <w:tabs>
                <w:tab w:val="left" w:pos="0"/>
                <w:tab w:val="left" w:pos="576"/>
                <w:tab w:val="left" w:pos="2976"/>
                <w:tab w:val="left" w:pos="4416"/>
                <w:tab w:val="left" w:pos="5856"/>
                <w:tab w:val="left" w:pos="6480"/>
              </w:tabs>
              <w:suppressAutoHyphens/>
            </w:pPr>
            <w:r>
              <w:t>18</w:t>
            </w:r>
          </w:p>
        </w:tc>
      </w:tr>
    </w:tbl>
    <w:p w14:paraId="16E5C822" w14:textId="77777777" w:rsidR="00A831E7" w:rsidRDefault="00A831E7" w:rsidP="00CB56DD">
      <w:pPr>
        <w:tabs>
          <w:tab w:val="left" w:pos="0"/>
          <w:tab w:val="left" w:pos="576"/>
          <w:tab w:val="left" w:pos="2976"/>
          <w:tab w:val="left" w:pos="4416"/>
          <w:tab w:val="left" w:pos="5856"/>
          <w:tab w:val="left" w:pos="6480"/>
        </w:tabs>
        <w:suppressAutoHyphens/>
        <w:spacing w:line="240" w:lineRule="auto"/>
        <w:rPr>
          <w:i/>
        </w:rPr>
      </w:pPr>
    </w:p>
    <w:tbl>
      <w:tblPr>
        <w:tblpPr w:leftFromText="180" w:rightFromText="180" w:vertAnchor="text" w:horzAnchor="margin" w:tblpX="-10" w:tblpY="187"/>
        <w:tblW w:w="3996"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889"/>
        <w:gridCol w:w="1891"/>
        <w:gridCol w:w="1802"/>
        <w:gridCol w:w="1891"/>
      </w:tblGrid>
      <w:tr w:rsidR="00C34EA2" w:rsidRPr="00AD6D91" w14:paraId="59ABC30E" w14:textId="77777777" w:rsidTr="00C34EA2">
        <w:trPr>
          <w:trHeight w:val="562"/>
        </w:trPr>
        <w:tc>
          <w:tcPr>
            <w:tcW w:w="1263" w:type="pct"/>
            <w:vAlign w:val="center"/>
          </w:tcPr>
          <w:p w14:paraId="41C69474" w14:textId="77777777" w:rsidR="00C34EA2" w:rsidRPr="00AD6D91" w:rsidRDefault="00C34EA2" w:rsidP="00C34EA2">
            <w:pPr>
              <w:spacing w:after="0"/>
              <w:rPr>
                <w:b/>
              </w:rPr>
            </w:pPr>
            <w:r w:rsidRPr="00AD6D91">
              <w:rPr>
                <w:b/>
              </w:rPr>
              <w:t>Short Certificate</w:t>
            </w:r>
          </w:p>
          <w:p w14:paraId="1B290EC7" w14:textId="77777777" w:rsidR="00C34EA2" w:rsidRPr="00AD6D91" w:rsidRDefault="00C34EA2" w:rsidP="00C34EA2">
            <w:pPr>
              <w:spacing w:after="0"/>
              <w:rPr>
                <w:b/>
              </w:rPr>
            </w:pPr>
            <w:r w:rsidRPr="00AD6D91">
              <w:rPr>
                <w:b/>
              </w:rPr>
              <w:t>SCT C249</w:t>
            </w:r>
          </w:p>
          <w:p w14:paraId="7A39FEDA" w14:textId="27291E2F" w:rsidR="00F02C98" w:rsidRPr="00AD6D91" w:rsidRDefault="00F02C98" w:rsidP="00C34EA2">
            <w:pPr>
              <w:spacing w:after="0"/>
              <w:rPr>
                <w:b/>
              </w:rPr>
            </w:pPr>
            <w:r w:rsidRPr="00AD6D91">
              <w:rPr>
                <w:b/>
              </w:rPr>
              <w:t>Certificate</w:t>
            </w:r>
          </w:p>
        </w:tc>
        <w:tc>
          <w:tcPr>
            <w:tcW w:w="1265" w:type="pct"/>
          </w:tcPr>
          <w:p w14:paraId="4377BE69" w14:textId="5A2638CD" w:rsidR="00C34EA2" w:rsidRPr="00AD6D91" w:rsidRDefault="00C34EA2" w:rsidP="00C34EA2">
            <w:pPr>
              <w:tabs>
                <w:tab w:val="left" w:pos="0"/>
                <w:tab w:val="left" w:pos="576"/>
                <w:tab w:val="left" w:pos="2976"/>
                <w:tab w:val="left" w:pos="4416"/>
                <w:tab w:val="left" w:pos="5856"/>
                <w:tab w:val="left" w:pos="6480"/>
              </w:tabs>
              <w:suppressAutoHyphens/>
              <w:spacing w:after="0" w:line="240" w:lineRule="auto"/>
              <w:rPr>
                <w:b/>
              </w:rPr>
            </w:pPr>
            <w:r w:rsidRPr="00AD6D91">
              <w:rPr>
                <w:b/>
              </w:rPr>
              <w:t>SU 201</w:t>
            </w:r>
            <w:r w:rsidR="00A94615" w:rsidRPr="00AD6D91">
              <w:rPr>
                <w:b/>
              </w:rPr>
              <w:t>8</w:t>
            </w:r>
          </w:p>
          <w:p w14:paraId="17B68056" w14:textId="3C7F27DE" w:rsidR="00C34EA2" w:rsidRPr="00AD6D91" w:rsidRDefault="00C34EA2" w:rsidP="00C34EA2">
            <w:pPr>
              <w:spacing w:line="240" w:lineRule="auto"/>
              <w:rPr>
                <w:sz w:val="20"/>
                <w:szCs w:val="20"/>
              </w:rPr>
            </w:pPr>
            <w:r w:rsidRPr="00AD6D91">
              <w:rPr>
                <w:b/>
              </w:rPr>
              <w:t>SP 201</w:t>
            </w:r>
            <w:r w:rsidR="00A94615" w:rsidRPr="00AD6D91">
              <w:rPr>
                <w:b/>
              </w:rPr>
              <w:t>9</w:t>
            </w:r>
          </w:p>
        </w:tc>
        <w:tc>
          <w:tcPr>
            <w:tcW w:w="1206" w:type="pct"/>
          </w:tcPr>
          <w:p w14:paraId="54506BFA" w14:textId="0F4C89AC" w:rsidR="00C34EA2" w:rsidRPr="00AD6D91" w:rsidRDefault="00C34EA2" w:rsidP="00C34EA2">
            <w:pPr>
              <w:spacing w:after="0" w:line="240" w:lineRule="auto"/>
              <w:rPr>
                <w:b/>
              </w:rPr>
            </w:pPr>
            <w:r w:rsidRPr="00AD6D91">
              <w:rPr>
                <w:b/>
              </w:rPr>
              <w:t>SU 201</w:t>
            </w:r>
            <w:r w:rsidR="00A94615" w:rsidRPr="00AD6D91">
              <w:rPr>
                <w:b/>
              </w:rPr>
              <w:t>9</w:t>
            </w:r>
          </w:p>
          <w:p w14:paraId="4F6612F9" w14:textId="16EC013F" w:rsidR="00C34EA2" w:rsidRPr="00AD6D91" w:rsidRDefault="00C34EA2" w:rsidP="00C34EA2">
            <w:pPr>
              <w:spacing w:line="240" w:lineRule="auto"/>
              <w:rPr>
                <w:sz w:val="20"/>
                <w:szCs w:val="20"/>
              </w:rPr>
            </w:pPr>
            <w:r w:rsidRPr="00AD6D91">
              <w:rPr>
                <w:b/>
              </w:rPr>
              <w:t>SP20</w:t>
            </w:r>
            <w:r w:rsidR="00A94615" w:rsidRPr="00AD6D91">
              <w:rPr>
                <w:b/>
              </w:rPr>
              <w:t>20</w:t>
            </w:r>
          </w:p>
        </w:tc>
        <w:tc>
          <w:tcPr>
            <w:tcW w:w="1265" w:type="pct"/>
          </w:tcPr>
          <w:p w14:paraId="0870CD24" w14:textId="632E22AC" w:rsidR="00C34EA2" w:rsidRPr="00AD6D91" w:rsidRDefault="00C34EA2" w:rsidP="00C34EA2">
            <w:pPr>
              <w:tabs>
                <w:tab w:val="left" w:pos="0"/>
                <w:tab w:val="left" w:pos="576"/>
                <w:tab w:val="left" w:pos="2976"/>
                <w:tab w:val="left" w:pos="4416"/>
                <w:tab w:val="left" w:pos="5856"/>
                <w:tab w:val="left" w:pos="6480"/>
              </w:tabs>
              <w:suppressAutoHyphens/>
              <w:spacing w:after="0" w:line="240" w:lineRule="auto"/>
              <w:rPr>
                <w:b/>
              </w:rPr>
            </w:pPr>
            <w:r w:rsidRPr="00AD6D91">
              <w:rPr>
                <w:b/>
              </w:rPr>
              <w:t>SU 20</w:t>
            </w:r>
            <w:r w:rsidR="00A94615" w:rsidRPr="00AD6D91">
              <w:rPr>
                <w:b/>
              </w:rPr>
              <w:t>20</w:t>
            </w:r>
          </w:p>
          <w:p w14:paraId="19F2A8FC" w14:textId="5500E57D" w:rsidR="00C34EA2" w:rsidRPr="00AD6D91" w:rsidRDefault="00C34EA2" w:rsidP="00C34EA2">
            <w:pPr>
              <w:tabs>
                <w:tab w:val="left" w:pos="0"/>
                <w:tab w:val="left" w:pos="576"/>
                <w:tab w:val="left" w:pos="2976"/>
                <w:tab w:val="left" w:pos="4416"/>
                <w:tab w:val="left" w:pos="5856"/>
                <w:tab w:val="left" w:pos="6480"/>
              </w:tabs>
              <w:suppressAutoHyphens/>
              <w:spacing w:after="0" w:line="240" w:lineRule="auto"/>
              <w:rPr>
                <w:b/>
              </w:rPr>
            </w:pPr>
            <w:r w:rsidRPr="00AD6D91">
              <w:rPr>
                <w:b/>
              </w:rPr>
              <w:t>SP 20</w:t>
            </w:r>
            <w:r w:rsidR="00A94615" w:rsidRPr="00AD6D91">
              <w:rPr>
                <w:b/>
              </w:rPr>
              <w:t>21</w:t>
            </w:r>
          </w:p>
        </w:tc>
      </w:tr>
      <w:tr w:rsidR="00C34EA2" w:rsidRPr="00AD6D91" w14:paraId="520DB6BE" w14:textId="77777777" w:rsidTr="00C34EA2">
        <w:trPr>
          <w:trHeight w:val="562"/>
        </w:trPr>
        <w:tc>
          <w:tcPr>
            <w:tcW w:w="1263" w:type="pct"/>
            <w:vAlign w:val="center"/>
          </w:tcPr>
          <w:p w14:paraId="0B6EBCC1" w14:textId="41720394" w:rsidR="00C34EA2" w:rsidRPr="00AD6D91" w:rsidRDefault="00C34EA2" w:rsidP="00C34EA2">
            <w:pPr>
              <w:spacing w:after="0" w:line="240" w:lineRule="auto"/>
              <w:jc w:val="both"/>
              <w:rPr>
                <w:b/>
              </w:rPr>
            </w:pPr>
            <w:r w:rsidRPr="00AD6D91">
              <w:rPr>
                <w:b/>
              </w:rPr>
              <w:t># awarded</w:t>
            </w:r>
          </w:p>
        </w:tc>
        <w:tc>
          <w:tcPr>
            <w:tcW w:w="1265" w:type="pct"/>
          </w:tcPr>
          <w:p w14:paraId="324BE200" w14:textId="4C344F3D" w:rsidR="00C34EA2" w:rsidRPr="00AD6D91" w:rsidRDefault="00A94615" w:rsidP="00C34EA2">
            <w:pPr>
              <w:spacing w:before="240" w:line="240" w:lineRule="auto"/>
              <w:rPr>
                <w:sz w:val="20"/>
                <w:szCs w:val="20"/>
              </w:rPr>
            </w:pPr>
            <w:r w:rsidRPr="00AD6D91">
              <w:rPr>
                <w:sz w:val="20"/>
                <w:szCs w:val="20"/>
              </w:rPr>
              <w:t>2</w:t>
            </w:r>
          </w:p>
        </w:tc>
        <w:tc>
          <w:tcPr>
            <w:tcW w:w="1206" w:type="pct"/>
          </w:tcPr>
          <w:p w14:paraId="2429E215" w14:textId="120721A0" w:rsidR="00C34EA2" w:rsidRPr="00AD6D91" w:rsidRDefault="00ED1C74" w:rsidP="00C34EA2">
            <w:pPr>
              <w:spacing w:before="240"/>
              <w:rPr>
                <w:sz w:val="20"/>
                <w:szCs w:val="20"/>
              </w:rPr>
            </w:pPr>
            <w:r w:rsidRPr="00AD6D91">
              <w:rPr>
                <w:sz w:val="20"/>
                <w:szCs w:val="20"/>
              </w:rPr>
              <w:t>19</w:t>
            </w:r>
          </w:p>
        </w:tc>
        <w:tc>
          <w:tcPr>
            <w:tcW w:w="1265" w:type="pct"/>
            <w:vAlign w:val="center"/>
          </w:tcPr>
          <w:p w14:paraId="75D30F6D" w14:textId="0FE83529" w:rsidR="00C34EA2" w:rsidRPr="00AD6D91" w:rsidRDefault="00AD6D91" w:rsidP="00C34EA2">
            <w:pPr>
              <w:spacing w:before="240"/>
              <w:rPr>
                <w:sz w:val="20"/>
                <w:szCs w:val="20"/>
              </w:rPr>
            </w:pPr>
            <w:r w:rsidRPr="00AD6D91">
              <w:rPr>
                <w:sz w:val="20"/>
                <w:szCs w:val="20"/>
              </w:rPr>
              <w:t>24</w:t>
            </w:r>
          </w:p>
        </w:tc>
      </w:tr>
    </w:tbl>
    <w:p w14:paraId="083B7C99" w14:textId="77777777" w:rsidR="00403C96" w:rsidRPr="00AD6D91" w:rsidRDefault="00403C96" w:rsidP="00CB56DD">
      <w:pPr>
        <w:tabs>
          <w:tab w:val="left" w:pos="0"/>
          <w:tab w:val="left" w:pos="576"/>
          <w:tab w:val="left" w:pos="2976"/>
          <w:tab w:val="left" w:pos="4416"/>
          <w:tab w:val="left" w:pos="5856"/>
          <w:tab w:val="left" w:pos="6480"/>
        </w:tabs>
        <w:suppressAutoHyphens/>
        <w:spacing w:line="240" w:lineRule="auto"/>
        <w:rPr>
          <w:i/>
        </w:rPr>
      </w:pPr>
    </w:p>
    <w:p w14:paraId="73BAA638" w14:textId="77777777" w:rsidR="00A2303C" w:rsidRPr="00AD6D91" w:rsidRDefault="00A2303C" w:rsidP="00CB56DD">
      <w:pPr>
        <w:tabs>
          <w:tab w:val="left" w:pos="0"/>
          <w:tab w:val="left" w:pos="576"/>
          <w:tab w:val="left" w:pos="2976"/>
          <w:tab w:val="left" w:pos="4416"/>
          <w:tab w:val="left" w:pos="5856"/>
          <w:tab w:val="left" w:pos="6480"/>
        </w:tabs>
        <w:suppressAutoHyphens/>
        <w:spacing w:line="240" w:lineRule="auto"/>
        <w:rPr>
          <w:i/>
        </w:rPr>
      </w:pPr>
    </w:p>
    <w:p w14:paraId="0462A27B" w14:textId="77777777" w:rsidR="00A2303C" w:rsidRPr="00AD6D91" w:rsidRDefault="00A2303C" w:rsidP="00CB56DD">
      <w:pPr>
        <w:tabs>
          <w:tab w:val="left" w:pos="0"/>
          <w:tab w:val="left" w:pos="576"/>
          <w:tab w:val="left" w:pos="2976"/>
          <w:tab w:val="left" w:pos="4416"/>
          <w:tab w:val="left" w:pos="5856"/>
          <w:tab w:val="left" w:pos="6480"/>
        </w:tabs>
        <w:suppressAutoHyphens/>
        <w:spacing w:line="240" w:lineRule="auto"/>
        <w:rPr>
          <w:i/>
        </w:rPr>
      </w:pPr>
    </w:p>
    <w:p w14:paraId="19BC097A" w14:textId="77777777" w:rsidR="00A2303C" w:rsidRPr="00AD6D91" w:rsidRDefault="00A2303C" w:rsidP="00CB56DD">
      <w:pPr>
        <w:tabs>
          <w:tab w:val="left" w:pos="0"/>
          <w:tab w:val="left" w:pos="576"/>
          <w:tab w:val="left" w:pos="2976"/>
          <w:tab w:val="left" w:pos="4416"/>
          <w:tab w:val="left" w:pos="5856"/>
          <w:tab w:val="left" w:pos="6480"/>
        </w:tabs>
        <w:suppressAutoHyphens/>
        <w:spacing w:line="240" w:lineRule="auto"/>
        <w:rPr>
          <w:i/>
        </w:rPr>
      </w:pPr>
    </w:p>
    <w:p w14:paraId="6D27AE8E" w14:textId="4EC9407E" w:rsidR="00636CFD" w:rsidRPr="00AD6D91" w:rsidRDefault="00636CFD" w:rsidP="00CB56DD">
      <w:pPr>
        <w:tabs>
          <w:tab w:val="left" w:pos="0"/>
          <w:tab w:val="left" w:pos="576"/>
          <w:tab w:val="left" w:pos="2976"/>
          <w:tab w:val="left" w:pos="4416"/>
          <w:tab w:val="left" w:pos="5856"/>
          <w:tab w:val="left" w:pos="6480"/>
        </w:tabs>
        <w:suppressAutoHyphens/>
        <w:spacing w:line="240" w:lineRule="auto"/>
      </w:pPr>
      <w:r w:rsidRPr="00AD6D91">
        <w:rPr>
          <w:i/>
        </w:rPr>
        <w:t>The IPEDS Completion Report</w:t>
      </w:r>
    </w:p>
    <w:p w14:paraId="49C1FD8D" w14:textId="295B7BB1" w:rsidR="002B6333" w:rsidRPr="00AD6D91" w:rsidRDefault="00636CFD" w:rsidP="00AD6D91">
      <w:pPr>
        <w:tabs>
          <w:tab w:val="left" w:pos="0"/>
          <w:tab w:val="left" w:pos="576"/>
          <w:tab w:val="left" w:pos="2976"/>
          <w:tab w:val="left" w:pos="4416"/>
          <w:tab w:val="left" w:pos="5856"/>
          <w:tab w:val="left" w:pos="6480"/>
        </w:tabs>
        <w:suppressAutoHyphens/>
        <w:spacing w:before="60"/>
      </w:pPr>
      <w:r w:rsidRPr="00AD6D91">
        <w:t xml:space="preserve">The </w:t>
      </w:r>
      <w:r w:rsidR="00840F26" w:rsidRPr="00AD6D91">
        <w:t xml:space="preserve">average </w:t>
      </w:r>
      <w:r w:rsidRPr="00AD6D91">
        <w:t xml:space="preserve">number of degrees awarded has remained consistent over the last three years. </w:t>
      </w:r>
      <w:r w:rsidR="00A2303C" w:rsidRPr="00AD6D91">
        <w:t>We did see a decrease</w:t>
      </w:r>
      <w:r w:rsidR="002B6333" w:rsidRPr="00AD6D91">
        <w:t xml:space="preserve"> </w:t>
      </w:r>
      <w:r w:rsidR="00A2303C" w:rsidRPr="00AD6D91">
        <w:t xml:space="preserve">in the number of graduates for the </w:t>
      </w:r>
      <w:r w:rsidR="002B6333" w:rsidRPr="00AD6D91">
        <w:t xml:space="preserve">2018-19 reporting period. </w:t>
      </w:r>
      <w:r w:rsidR="00956718" w:rsidRPr="00AD6D91">
        <w:t>Attrition 1</w:t>
      </w:r>
      <w:r w:rsidR="00956718" w:rsidRPr="00AD6D91">
        <w:rPr>
          <w:vertAlign w:val="superscript"/>
        </w:rPr>
        <w:t>st</w:t>
      </w:r>
      <w:r w:rsidR="00956718" w:rsidRPr="00AD6D91">
        <w:t xml:space="preserve"> and 2</w:t>
      </w:r>
      <w:r w:rsidR="00956718" w:rsidRPr="00AD6D91">
        <w:rPr>
          <w:vertAlign w:val="superscript"/>
        </w:rPr>
        <w:t>nd</w:t>
      </w:r>
      <w:r w:rsidR="00956718" w:rsidRPr="00AD6D91">
        <w:t xml:space="preserve"> semester was especially increased with final clinical semester between 6-8 students for fall18, spring 19 and fall19 clinical groups. </w:t>
      </w:r>
      <w:r w:rsidR="002B6333" w:rsidRPr="00AD6D91">
        <w:t xml:space="preserve">Admission statistics will show that enrollment and retention has rebounded for the </w:t>
      </w:r>
      <w:r w:rsidR="002B6333" w:rsidRPr="00AD6D91">
        <w:lastRenderedPageBreak/>
        <w:t xml:space="preserve">2019-20 </w:t>
      </w:r>
      <w:r w:rsidR="00AD6D91" w:rsidRPr="00AD6D91">
        <w:t xml:space="preserve">and 2020-21 </w:t>
      </w:r>
      <w:r w:rsidR="002B6333" w:rsidRPr="00AD6D91">
        <w:t>assessment period</w:t>
      </w:r>
      <w:r w:rsidR="00AD6D91" w:rsidRPr="00AD6D91">
        <w:t>s</w:t>
      </w:r>
      <w:r w:rsidR="002B6333" w:rsidRPr="00AD6D91">
        <w:t xml:space="preserve">. </w:t>
      </w:r>
      <w:r w:rsidRPr="00AD6D91">
        <w:t>The restricted enrollment prevents any major increase</w:t>
      </w:r>
      <w:r w:rsidR="00F02C98" w:rsidRPr="00AD6D91">
        <w:t>s</w:t>
      </w:r>
      <w:r w:rsidRPr="00AD6D91">
        <w:t xml:space="preserve"> in this </w:t>
      </w:r>
      <w:r w:rsidR="003A09B1" w:rsidRPr="00AD6D91">
        <w:t>area,</w:t>
      </w:r>
      <w:r w:rsidR="00956718" w:rsidRPr="00AD6D91">
        <w:t xml:space="preserve"> but the program is focusing on retention through course sequencing and curriculum changes.</w:t>
      </w:r>
    </w:p>
    <w:p w14:paraId="7BD9FD3B" w14:textId="5D52D982" w:rsidR="00C34EA2" w:rsidRDefault="00C34EA2" w:rsidP="00AD6D91">
      <w:pPr>
        <w:tabs>
          <w:tab w:val="left" w:pos="0"/>
          <w:tab w:val="left" w:pos="576"/>
          <w:tab w:val="left" w:pos="2976"/>
          <w:tab w:val="left" w:pos="4416"/>
          <w:tab w:val="left" w:pos="5856"/>
          <w:tab w:val="left" w:pos="6480"/>
        </w:tabs>
        <w:suppressAutoHyphens/>
        <w:spacing w:before="60"/>
        <w:contextualSpacing/>
      </w:pPr>
      <w:r w:rsidRPr="00AD6D91">
        <w:t>The MLT/Phlebotomy Short Certificate program began in 2016-17. This award captured the 1</w:t>
      </w:r>
      <w:r w:rsidRPr="00AD6D91">
        <w:rPr>
          <w:vertAlign w:val="superscript"/>
        </w:rPr>
        <w:t>st</w:t>
      </w:r>
      <w:r w:rsidRPr="00AD6D91">
        <w:t xml:space="preserve">. semester non-completers and was initially only offered to non-completers or students desiring just wishing to complete the phlebotomy certification program. This process continued for the 2017-18 cohort. The college decided to award all students satisfying the criteria the MLT/Phlebotomy Short certificate. The number in the 2018-19 cohort only represents the students not continuing in the MLT </w:t>
      </w:r>
      <w:r w:rsidR="00F02C98" w:rsidRPr="00AD6D91">
        <w:t>program. In spring 2019, per SAC-COC requirements we had to add more MLT course specific classes to the short certificate award. This has now prevented the certificate to be awarded to any student other than those admitted to the MLT program. All students completing the first semester of the MLT program are awarded to certificate.  Statistics for this award will now reflect only the MLT program non-completers in future assessments</w:t>
      </w:r>
      <w:r w:rsidR="00F02C98">
        <w:t>.</w:t>
      </w:r>
    </w:p>
    <w:p w14:paraId="5B70C69D" w14:textId="77777777" w:rsidR="00250F56" w:rsidRPr="006C2246" w:rsidRDefault="00250F56" w:rsidP="00250F56">
      <w:pPr>
        <w:pStyle w:val="TOAHeading"/>
        <w:tabs>
          <w:tab w:val="clear" w:pos="9360"/>
          <w:tab w:val="left" w:pos="0"/>
          <w:tab w:val="left" w:pos="576"/>
          <w:tab w:val="left" w:pos="2976"/>
          <w:tab w:val="left" w:pos="4416"/>
          <w:tab w:val="left" w:pos="5856"/>
          <w:tab w:val="left" w:pos="6480"/>
        </w:tabs>
        <w:spacing w:before="60"/>
        <w:rPr>
          <w:rFonts w:asciiTheme="minorHAnsi" w:hAnsiTheme="minorHAnsi"/>
          <w:b/>
          <w:sz w:val="22"/>
          <w:szCs w:val="22"/>
        </w:rPr>
      </w:pPr>
      <w:r w:rsidRPr="006C2246">
        <w:rPr>
          <w:rFonts w:asciiTheme="minorHAnsi" w:hAnsiTheme="minorHAnsi"/>
          <w:b/>
          <w:sz w:val="22"/>
          <w:szCs w:val="22"/>
        </w:rPr>
        <w:t xml:space="preserve">Licensure/Certification Exam Results  </w:t>
      </w:r>
    </w:p>
    <w:p w14:paraId="108058B1" w14:textId="77777777" w:rsidR="00250F56" w:rsidRPr="00262911" w:rsidRDefault="00250F56" w:rsidP="00250F56">
      <w:r w:rsidRPr="00262911">
        <w:t xml:space="preserve">Licensure/Certification Agency:  American Society for </w:t>
      </w:r>
      <w:r w:rsidR="005B52EF" w:rsidRPr="00262911">
        <w:t>Medical</w:t>
      </w:r>
      <w:r w:rsidRPr="00262911">
        <w:t xml:space="preserve"> Pathologist Board of Certification (ASCP)</w:t>
      </w:r>
    </w:p>
    <w:p w14:paraId="26D7481B" w14:textId="719CF9BD" w:rsidR="00250F56" w:rsidRPr="00262911" w:rsidRDefault="00250F56" w:rsidP="00250F56">
      <w:pPr>
        <w:spacing w:after="0"/>
        <w:rPr>
          <w:b/>
        </w:rPr>
      </w:pPr>
      <w:r w:rsidRPr="00262911">
        <w:rPr>
          <w:b/>
        </w:rPr>
        <w:t>I</w:t>
      </w:r>
      <w:r w:rsidR="005861AA" w:rsidRPr="00262911">
        <w:rPr>
          <w:b/>
        </w:rPr>
        <w:t>I</w:t>
      </w:r>
      <w:r w:rsidRPr="00262911">
        <w:rPr>
          <w:b/>
        </w:rPr>
        <w:t xml:space="preserve">. ASCP BOR </w:t>
      </w:r>
      <w:r w:rsidR="006A09B1" w:rsidRPr="00262911">
        <w:rPr>
          <w:b/>
        </w:rPr>
        <w:t xml:space="preserve">and AMT </w:t>
      </w:r>
      <w:r w:rsidRPr="00262911">
        <w:rPr>
          <w:b/>
        </w:rPr>
        <w:t>Certification Results</w:t>
      </w:r>
      <w:r w:rsidRPr="00262911">
        <w:rPr>
          <w:rFonts w:ascii="Times New Roman" w:eastAsia="Times New Roman" w:hAnsi="Times New Roman" w:cs="Times New Roman"/>
          <w:b/>
          <w:sz w:val="20"/>
          <w:szCs w:val="20"/>
        </w:rPr>
        <w:tab/>
      </w:r>
      <w:r w:rsidRPr="00262911">
        <w:rPr>
          <w:rFonts w:ascii="Times New Roman" w:eastAsia="Times New Roman" w:hAnsi="Times New Roman" w:cs="Times New Roman"/>
          <w:b/>
          <w:sz w:val="20"/>
          <w:szCs w:val="20"/>
        </w:rPr>
        <w:tab/>
      </w:r>
    </w:p>
    <w:p w14:paraId="2BF60A6D" w14:textId="2D9E220F" w:rsidR="00250F56" w:rsidRPr="00262911" w:rsidRDefault="0000104B" w:rsidP="00250F56">
      <w:pPr>
        <w:tabs>
          <w:tab w:val="center" w:pos="4320"/>
          <w:tab w:val="right" w:pos="8640"/>
        </w:tabs>
        <w:spacing w:after="0" w:line="240" w:lineRule="auto"/>
        <w:rPr>
          <w:rFonts w:ascii="Times New Roman" w:eastAsia="Times New Roman" w:hAnsi="Times New Roman" w:cs="Times New Roman"/>
          <w:b/>
          <w:sz w:val="24"/>
          <w:szCs w:val="24"/>
          <w:u w:val="single"/>
        </w:rPr>
      </w:pPr>
      <w:r w:rsidRPr="00262911">
        <w:rPr>
          <w:b/>
        </w:rPr>
        <w:t>NAACLS</w:t>
      </w:r>
      <w:r w:rsidR="00250F56" w:rsidRPr="00262911">
        <w:rPr>
          <w:b/>
        </w:rPr>
        <w:t xml:space="preserve"> </w:t>
      </w:r>
      <w:r w:rsidRPr="00262911">
        <w:rPr>
          <w:b/>
        </w:rPr>
        <w:t>BOC Testing cycle July-June</w:t>
      </w:r>
    </w:p>
    <w:p w14:paraId="44B4EFF5" w14:textId="440C8186" w:rsidR="00250F56" w:rsidRPr="00262911" w:rsidRDefault="00250F56" w:rsidP="00250F56"/>
    <w:tbl>
      <w:tblPr>
        <w:tblStyle w:val="TableGrid"/>
        <w:tblW w:w="0" w:type="auto"/>
        <w:tblLook w:val="04A0" w:firstRow="1" w:lastRow="0" w:firstColumn="1" w:lastColumn="0" w:noHBand="0" w:noVBand="1"/>
      </w:tblPr>
      <w:tblGrid>
        <w:gridCol w:w="3865"/>
        <w:gridCol w:w="1260"/>
        <w:gridCol w:w="1336"/>
        <w:gridCol w:w="1530"/>
      </w:tblGrid>
      <w:tr w:rsidR="008C32D5" w:rsidRPr="00262911" w14:paraId="02DAC7BB" w14:textId="56D14908" w:rsidTr="00685560">
        <w:trPr>
          <w:trHeight w:val="593"/>
        </w:trPr>
        <w:tc>
          <w:tcPr>
            <w:tcW w:w="3865" w:type="dxa"/>
          </w:tcPr>
          <w:p w14:paraId="2D74DA4C" w14:textId="77777777" w:rsidR="008C32D5" w:rsidRPr="00262911" w:rsidRDefault="008C32D5" w:rsidP="008C32D5">
            <w:r w:rsidRPr="00262911">
              <w:t>Certification Exam Pass Rates</w:t>
            </w:r>
          </w:p>
          <w:p w14:paraId="7286F76E" w14:textId="76E75E70" w:rsidR="008C32D5" w:rsidRPr="00262911" w:rsidRDefault="008C32D5" w:rsidP="008C32D5">
            <w:r w:rsidRPr="00262911">
              <w:t>ASCP-BOC or AMT exams</w:t>
            </w:r>
          </w:p>
        </w:tc>
        <w:tc>
          <w:tcPr>
            <w:tcW w:w="1260" w:type="dxa"/>
          </w:tcPr>
          <w:p w14:paraId="0C37F68D" w14:textId="77777777" w:rsidR="008C32D5" w:rsidRPr="00262911" w:rsidRDefault="008C32D5" w:rsidP="008C32D5">
            <w:r w:rsidRPr="00262911">
              <w:t>7/1/17-</w:t>
            </w:r>
          </w:p>
          <w:p w14:paraId="3ECF3AE9" w14:textId="58BEE661" w:rsidR="008C32D5" w:rsidRPr="00262911" w:rsidRDefault="008C32D5" w:rsidP="008C32D5">
            <w:r w:rsidRPr="00262911">
              <w:t>6/30/18</w:t>
            </w:r>
          </w:p>
        </w:tc>
        <w:tc>
          <w:tcPr>
            <w:tcW w:w="1336" w:type="dxa"/>
          </w:tcPr>
          <w:p w14:paraId="2A65C685" w14:textId="77777777" w:rsidR="008C32D5" w:rsidRPr="00262911" w:rsidRDefault="008C32D5" w:rsidP="008C32D5">
            <w:r w:rsidRPr="00262911">
              <w:t>7/1/18-</w:t>
            </w:r>
          </w:p>
          <w:p w14:paraId="2F13D18A" w14:textId="1D7D9C15" w:rsidR="008C32D5" w:rsidRPr="00262911" w:rsidRDefault="008C32D5" w:rsidP="008C32D5">
            <w:r w:rsidRPr="00262911">
              <w:t>6/30/19</w:t>
            </w:r>
          </w:p>
        </w:tc>
        <w:tc>
          <w:tcPr>
            <w:tcW w:w="1530" w:type="dxa"/>
          </w:tcPr>
          <w:p w14:paraId="265A6D42" w14:textId="76D99B35" w:rsidR="008C32D5" w:rsidRPr="00262911" w:rsidRDefault="008C32D5" w:rsidP="008C32D5">
            <w:r w:rsidRPr="00262911">
              <w:t>7/1/19-6/30/20</w:t>
            </w:r>
          </w:p>
        </w:tc>
      </w:tr>
      <w:tr w:rsidR="008C32D5" w:rsidRPr="00262911" w14:paraId="260B309E" w14:textId="2CCF7531" w:rsidTr="00685560">
        <w:tc>
          <w:tcPr>
            <w:tcW w:w="3865" w:type="dxa"/>
          </w:tcPr>
          <w:p w14:paraId="1E2D15CC" w14:textId="271C5ECB" w:rsidR="008C32D5" w:rsidRPr="00262911" w:rsidRDefault="008C32D5" w:rsidP="008C32D5"/>
        </w:tc>
        <w:tc>
          <w:tcPr>
            <w:tcW w:w="1260" w:type="dxa"/>
          </w:tcPr>
          <w:p w14:paraId="42A9E3D1" w14:textId="77777777" w:rsidR="008C32D5" w:rsidRPr="00262911" w:rsidRDefault="008C32D5" w:rsidP="008C32D5"/>
        </w:tc>
        <w:tc>
          <w:tcPr>
            <w:tcW w:w="1336" w:type="dxa"/>
          </w:tcPr>
          <w:p w14:paraId="0A9595F5" w14:textId="77777777" w:rsidR="008C32D5" w:rsidRPr="00262911" w:rsidRDefault="008C32D5" w:rsidP="008C32D5"/>
        </w:tc>
        <w:tc>
          <w:tcPr>
            <w:tcW w:w="1530" w:type="dxa"/>
          </w:tcPr>
          <w:p w14:paraId="27A680FE" w14:textId="77777777" w:rsidR="008C32D5" w:rsidRPr="00262911" w:rsidRDefault="008C32D5" w:rsidP="008C32D5"/>
        </w:tc>
      </w:tr>
      <w:tr w:rsidR="008C32D5" w:rsidRPr="00262911" w14:paraId="044B9494" w14:textId="14444C68" w:rsidTr="00685560">
        <w:tc>
          <w:tcPr>
            <w:tcW w:w="3865" w:type="dxa"/>
          </w:tcPr>
          <w:p w14:paraId="1654E376" w14:textId="07EAD085" w:rsidR="008C32D5" w:rsidRPr="00262911" w:rsidRDefault="008C32D5" w:rsidP="008C32D5">
            <w:r w:rsidRPr="00262911">
              <w:t>A)       Total # of Graduates</w:t>
            </w:r>
          </w:p>
        </w:tc>
        <w:tc>
          <w:tcPr>
            <w:tcW w:w="1260" w:type="dxa"/>
          </w:tcPr>
          <w:p w14:paraId="51A6D2F9" w14:textId="3B430B00" w:rsidR="008C32D5" w:rsidRPr="00262911" w:rsidRDefault="008C32D5" w:rsidP="008C32D5">
            <w:r w:rsidRPr="00262911">
              <w:t>22</w:t>
            </w:r>
          </w:p>
        </w:tc>
        <w:tc>
          <w:tcPr>
            <w:tcW w:w="1336" w:type="dxa"/>
          </w:tcPr>
          <w:p w14:paraId="07F881A3" w14:textId="3076A1A8" w:rsidR="008C32D5" w:rsidRPr="00262911" w:rsidRDefault="008C32D5" w:rsidP="008C32D5">
            <w:r w:rsidRPr="00262911">
              <w:t>14</w:t>
            </w:r>
          </w:p>
        </w:tc>
        <w:tc>
          <w:tcPr>
            <w:tcW w:w="1530" w:type="dxa"/>
          </w:tcPr>
          <w:p w14:paraId="63920242" w14:textId="7FB1E6CF" w:rsidR="008C32D5" w:rsidRPr="00262911" w:rsidRDefault="008C32D5" w:rsidP="008C32D5">
            <w:r w:rsidRPr="00262911">
              <w:t>17</w:t>
            </w:r>
          </w:p>
        </w:tc>
      </w:tr>
      <w:tr w:rsidR="008C32D5" w:rsidRPr="00262911" w14:paraId="5CC6EAA7" w14:textId="3486BD44" w:rsidTr="00685560">
        <w:tc>
          <w:tcPr>
            <w:tcW w:w="3865" w:type="dxa"/>
          </w:tcPr>
          <w:p w14:paraId="2458D8AA" w14:textId="77777777" w:rsidR="008C32D5" w:rsidRPr="00262911" w:rsidRDefault="008C32D5" w:rsidP="008C32D5">
            <w:r w:rsidRPr="00262911">
              <w:t xml:space="preserve">B)        #who sat for the exam within the   </w:t>
            </w:r>
          </w:p>
          <w:p w14:paraId="628FB473" w14:textId="2A5DE42B" w:rsidR="008C32D5" w:rsidRPr="00262911" w:rsidRDefault="008C32D5" w:rsidP="008C32D5">
            <w:r w:rsidRPr="00262911">
              <w:t xml:space="preserve">           first year of graduation</w:t>
            </w:r>
          </w:p>
        </w:tc>
        <w:tc>
          <w:tcPr>
            <w:tcW w:w="1260" w:type="dxa"/>
          </w:tcPr>
          <w:p w14:paraId="3E0A92F1" w14:textId="11E1EC84" w:rsidR="008C32D5" w:rsidRPr="00262911" w:rsidRDefault="008C32D5" w:rsidP="008C32D5">
            <w:r w:rsidRPr="00262911">
              <w:t>15</w:t>
            </w:r>
          </w:p>
        </w:tc>
        <w:tc>
          <w:tcPr>
            <w:tcW w:w="1336" w:type="dxa"/>
          </w:tcPr>
          <w:p w14:paraId="36B4085C" w14:textId="522486DE" w:rsidR="008C32D5" w:rsidRPr="00262911" w:rsidRDefault="008C32D5" w:rsidP="008C32D5">
            <w:r w:rsidRPr="00262911">
              <w:t>11</w:t>
            </w:r>
          </w:p>
        </w:tc>
        <w:tc>
          <w:tcPr>
            <w:tcW w:w="1530" w:type="dxa"/>
          </w:tcPr>
          <w:p w14:paraId="33B17EF9" w14:textId="37143F93" w:rsidR="008C32D5" w:rsidRPr="00262911" w:rsidRDefault="008C32D5" w:rsidP="008C32D5">
            <w:r w:rsidRPr="00262911">
              <w:t>14</w:t>
            </w:r>
          </w:p>
        </w:tc>
      </w:tr>
      <w:tr w:rsidR="008C32D5" w:rsidRPr="00262911" w14:paraId="0F88FD50" w14:textId="161686C7" w:rsidTr="00685560">
        <w:tc>
          <w:tcPr>
            <w:tcW w:w="3865" w:type="dxa"/>
          </w:tcPr>
          <w:p w14:paraId="685786B9" w14:textId="77777777" w:rsidR="008C32D5" w:rsidRPr="00262911" w:rsidRDefault="008C32D5" w:rsidP="008C32D5">
            <w:r w:rsidRPr="00262911">
              <w:t xml:space="preserve">C)       # who passed the exam within the </w:t>
            </w:r>
          </w:p>
          <w:p w14:paraId="5624FCE1" w14:textId="4FA4736D" w:rsidR="008C32D5" w:rsidRPr="00262911" w:rsidRDefault="008C32D5" w:rsidP="008C32D5">
            <w:r w:rsidRPr="00262911">
              <w:t xml:space="preserve">           first year of graduation</w:t>
            </w:r>
          </w:p>
        </w:tc>
        <w:tc>
          <w:tcPr>
            <w:tcW w:w="1260" w:type="dxa"/>
          </w:tcPr>
          <w:p w14:paraId="64063960" w14:textId="313D6EF9" w:rsidR="008C32D5" w:rsidRPr="00262911" w:rsidRDefault="008C32D5" w:rsidP="008C32D5">
            <w:r w:rsidRPr="00262911">
              <w:t>14</w:t>
            </w:r>
          </w:p>
        </w:tc>
        <w:tc>
          <w:tcPr>
            <w:tcW w:w="1336" w:type="dxa"/>
          </w:tcPr>
          <w:p w14:paraId="5DD3F875" w14:textId="0B4FEA69" w:rsidR="008C32D5" w:rsidRPr="00262911" w:rsidRDefault="008C32D5" w:rsidP="008C32D5">
            <w:r w:rsidRPr="00262911">
              <w:t>7</w:t>
            </w:r>
          </w:p>
        </w:tc>
        <w:tc>
          <w:tcPr>
            <w:tcW w:w="1530" w:type="dxa"/>
          </w:tcPr>
          <w:p w14:paraId="27EF7F84" w14:textId="577365FA" w:rsidR="008C32D5" w:rsidRPr="00262911" w:rsidRDefault="008C32D5" w:rsidP="008C32D5">
            <w:r w:rsidRPr="00262911">
              <w:t>11</w:t>
            </w:r>
          </w:p>
        </w:tc>
      </w:tr>
      <w:tr w:rsidR="008C32D5" w:rsidRPr="00262911" w14:paraId="2F871AA4" w14:textId="3D734D2B" w:rsidTr="00685560">
        <w:tc>
          <w:tcPr>
            <w:tcW w:w="3865" w:type="dxa"/>
          </w:tcPr>
          <w:p w14:paraId="156AA501" w14:textId="245EBA10" w:rsidR="008C32D5" w:rsidRPr="00262911" w:rsidRDefault="008C32D5" w:rsidP="008C32D5">
            <w:r w:rsidRPr="00262911">
              <w:t>Yearly Certification Pass Rate: (C/B)</w:t>
            </w:r>
          </w:p>
        </w:tc>
        <w:tc>
          <w:tcPr>
            <w:tcW w:w="1260" w:type="dxa"/>
          </w:tcPr>
          <w:p w14:paraId="3748E105" w14:textId="79E574F6" w:rsidR="008C32D5" w:rsidRPr="00262911" w:rsidRDefault="008C32D5" w:rsidP="008C32D5">
            <w:r w:rsidRPr="00262911">
              <w:t>93</w:t>
            </w:r>
          </w:p>
        </w:tc>
        <w:tc>
          <w:tcPr>
            <w:tcW w:w="1336" w:type="dxa"/>
          </w:tcPr>
          <w:p w14:paraId="01ED4580" w14:textId="27D20BA3" w:rsidR="008C32D5" w:rsidRPr="00262911" w:rsidRDefault="008C32D5" w:rsidP="008C32D5">
            <w:r w:rsidRPr="00262911">
              <w:t>64</w:t>
            </w:r>
          </w:p>
        </w:tc>
        <w:tc>
          <w:tcPr>
            <w:tcW w:w="1530" w:type="dxa"/>
          </w:tcPr>
          <w:p w14:paraId="068FFA53" w14:textId="09CEA88A" w:rsidR="008C32D5" w:rsidRPr="00262911" w:rsidRDefault="008C32D5" w:rsidP="008C32D5">
            <w:r w:rsidRPr="00262911">
              <w:t>79</w:t>
            </w:r>
          </w:p>
        </w:tc>
      </w:tr>
      <w:tr w:rsidR="008C32D5" w:rsidRPr="00262911" w14:paraId="1830526A" w14:textId="77777777" w:rsidTr="00ED4B78">
        <w:tc>
          <w:tcPr>
            <w:tcW w:w="3865" w:type="dxa"/>
          </w:tcPr>
          <w:p w14:paraId="552DA51C" w14:textId="0BBA69E5" w:rsidR="008C32D5" w:rsidRPr="00262911" w:rsidRDefault="008C32D5" w:rsidP="008C32D5">
            <w:r w:rsidRPr="00262911">
              <w:t>Three Year Average</w:t>
            </w:r>
          </w:p>
        </w:tc>
        <w:tc>
          <w:tcPr>
            <w:tcW w:w="4126" w:type="dxa"/>
            <w:gridSpan w:val="3"/>
          </w:tcPr>
          <w:p w14:paraId="3E5D3112" w14:textId="70FB7F1B" w:rsidR="008C32D5" w:rsidRPr="00262911" w:rsidRDefault="008C32D5" w:rsidP="008C32D5">
            <w:pPr>
              <w:jc w:val="center"/>
            </w:pPr>
            <w:r w:rsidRPr="00262911">
              <w:t>80%</w:t>
            </w:r>
          </w:p>
        </w:tc>
      </w:tr>
    </w:tbl>
    <w:p w14:paraId="2ED1C91F" w14:textId="77777777" w:rsidR="0096782A" w:rsidRPr="00262911" w:rsidRDefault="0096782A" w:rsidP="00250F56"/>
    <w:p w14:paraId="6C666F28" w14:textId="77777777" w:rsidR="00250F56" w:rsidRPr="00262911" w:rsidRDefault="00250F56" w:rsidP="00250F56">
      <w:pPr>
        <w:pStyle w:val="ListParagraph"/>
        <w:numPr>
          <w:ilvl w:val="0"/>
          <w:numId w:val="8"/>
        </w:numPr>
        <w:rPr>
          <w:b/>
        </w:rPr>
      </w:pPr>
      <w:r w:rsidRPr="00262911">
        <w:rPr>
          <w:b/>
        </w:rPr>
        <w:t>NAACLS Benchmark for ASCP Certification Rates: Three years consecutive results of graduates’ certification rates demonstrating an average of at least 75% pass rate on BOC examinations, for those who take the exam within the first year of graduation as calc</w:t>
      </w:r>
      <w:r w:rsidR="00792C33" w:rsidRPr="00262911">
        <w:rPr>
          <w:b/>
        </w:rPr>
        <w:t>ulated by the most recent three-</w:t>
      </w:r>
      <w:r w:rsidRPr="00262911">
        <w:rPr>
          <w:b/>
        </w:rPr>
        <w:t>year period.</w:t>
      </w:r>
    </w:p>
    <w:p w14:paraId="6276943B" w14:textId="77777777" w:rsidR="00262911" w:rsidRPr="00262911" w:rsidRDefault="00F80EA7" w:rsidP="00186EFD">
      <w:pPr>
        <w:pStyle w:val="ListParagraph"/>
        <w:numPr>
          <w:ilvl w:val="0"/>
          <w:numId w:val="8"/>
        </w:numPr>
      </w:pPr>
      <w:r w:rsidRPr="00262911">
        <w:t xml:space="preserve">Our three-year average is </w:t>
      </w:r>
      <w:r w:rsidR="00EC577C" w:rsidRPr="00262911">
        <w:t xml:space="preserve">above </w:t>
      </w:r>
      <w:r w:rsidRPr="00262911">
        <w:t xml:space="preserve">the NAACLS benchmark. </w:t>
      </w:r>
      <w:r w:rsidR="008C32D5" w:rsidRPr="00262911">
        <w:t>In April 2021 the NAACLS Board of Directors made a decision to include the American Medical Technologist exam in certification pass rates. This is beneficial to our program because students that do not pass the ASCP exam typically</w:t>
      </w:r>
      <w:r w:rsidR="00262911" w:rsidRPr="00262911">
        <w:t xml:space="preserve"> </w:t>
      </w:r>
      <w:r w:rsidR="008C32D5" w:rsidRPr="00262911">
        <w:t xml:space="preserve">re-test with the AMT. Previously </w:t>
      </w:r>
      <w:r w:rsidR="00262911" w:rsidRPr="00262911">
        <w:t xml:space="preserve">the program could not </w:t>
      </w:r>
      <w:r w:rsidR="008C32D5" w:rsidRPr="00262911">
        <w:t>better</w:t>
      </w:r>
      <w:r w:rsidR="00262911" w:rsidRPr="00262911">
        <w:t xml:space="preserve"> ASCP</w:t>
      </w:r>
      <w:r w:rsidR="008C32D5" w:rsidRPr="00262911">
        <w:t xml:space="preserve"> certification scores and as a result </w:t>
      </w:r>
      <w:r w:rsidR="00262911" w:rsidRPr="00262911">
        <w:t xml:space="preserve">had to prepare an action plan for pass rate improvements. </w:t>
      </w:r>
      <w:r w:rsidR="007B3C14" w:rsidRPr="00262911">
        <w:t>Our 20</w:t>
      </w:r>
      <w:r w:rsidR="00262911" w:rsidRPr="00262911">
        <w:t>20</w:t>
      </w:r>
      <w:r w:rsidR="007B3C14" w:rsidRPr="00262911">
        <w:t>-</w:t>
      </w:r>
      <w:r w:rsidR="00262911" w:rsidRPr="00262911">
        <w:t>21</w:t>
      </w:r>
      <w:r w:rsidR="007B3C14" w:rsidRPr="00262911">
        <w:t xml:space="preserve"> cohort </w:t>
      </w:r>
      <w:r w:rsidR="00262911" w:rsidRPr="00262911">
        <w:t xml:space="preserve">is </w:t>
      </w:r>
    </w:p>
    <w:p w14:paraId="30C3339D" w14:textId="57A15A21" w:rsidR="00EC577C" w:rsidRPr="00262911" w:rsidRDefault="00262911" w:rsidP="00262911">
      <w:pPr>
        <w:pStyle w:val="ListParagraph"/>
      </w:pPr>
      <w:r w:rsidRPr="00262911">
        <w:lastRenderedPageBreak/>
        <w:t>still in the 1-year time limit and will be evaluated during the 2022 NAACLS Annual survey</w:t>
      </w:r>
      <w:r w:rsidR="007B3C14" w:rsidRPr="00262911">
        <w:t>.</w:t>
      </w:r>
      <w:r w:rsidRPr="00262911">
        <w:t xml:space="preserve"> Currently I have 22 graduated in this cohort 22, 12 students have taken the certification exam and 10 passed for 83% pass rate.</w:t>
      </w:r>
    </w:p>
    <w:p w14:paraId="72C1D766" w14:textId="77777777" w:rsidR="00262911" w:rsidRPr="00262911" w:rsidRDefault="00262911" w:rsidP="00250F56">
      <w:pPr>
        <w:rPr>
          <w:b/>
        </w:rPr>
      </w:pPr>
    </w:p>
    <w:p w14:paraId="69CB486B" w14:textId="7A218395" w:rsidR="00250F56" w:rsidRPr="00450252" w:rsidRDefault="005861AA" w:rsidP="00250F56">
      <w:pPr>
        <w:rPr>
          <w:b/>
        </w:rPr>
      </w:pPr>
      <w:r w:rsidRPr="00450252">
        <w:rPr>
          <w:b/>
        </w:rPr>
        <w:t>I</w:t>
      </w:r>
      <w:r w:rsidR="00250F56" w:rsidRPr="00450252">
        <w:rPr>
          <w:b/>
        </w:rPr>
        <w:t>II. Admission Statistics</w:t>
      </w:r>
    </w:p>
    <w:tbl>
      <w:tblPr>
        <w:tblStyle w:val="TableGrid"/>
        <w:tblW w:w="9350" w:type="dxa"/>
        <w:tblLook w:val="04A0" w:firstRow="1" w:lastRow="0" w:firstColumn="1" w:lastColumn="0" w:noHBand="0" w:noVBand="1"/>
      </w:tblPr>
      <w:tblGrid>
        <w:gridCol w:w="1267"/>
        <w:gridCol w:w="1349"/>
        <w:gridCol w:w="1082"/>
        <w:gridCol w:w="1289"/>
        <w:gridCol w:w="1954"/>
        <w:gridCol w:w="2409"/>
      </w:tblGrid>
      <w:tr w:rsidR="00D662C4" w:rsidRPr="00450252" w14:paraId="0C0E1EFB" w14:textId="77748C1F" w:rsidTr="00D662C4">
        <w:trPr>
          <w:trHeight w:val="953"/>
        </w:trPr>
        <w:tc>
          <w:tcPr>
            <w:tcW w:w="1267" w:type="dxa"/>
          </w:tcPr>
          <w:p w14:paraId="537D21C1" w14:textId="7FC8495D" w:rsidR="00D662C4" w:rsidRPr="00450252" w:rsidRDefault="00D662C4" w:rsidP="00B97D18">
            <w:pPr>
              <w:rPr>
                <w:b/>
              </w:rPr>
            </w:pPr>
            <w:r w:rsidRPr="00450252">
              <w:rPr>
                <w:b/>
              </w:rPr>
              <w:t>Admission Cohort</w:t>
            </w:r>
          </w:p>
        </w:tc>
        <w:tc>
          <w:tcPr>
            <w:tcW w:w="1349" w:type="dxa"/>
          </w:tcPr>
          <w:p w14:paraId="1D629DDB" w14:textId="35DF52ED" w:rsidR="00D662C4" w:rsidRPr="00450252" w:rsidRDefault="00D662C4" w:rsidP="00B97D18">
            <w:pPr>
              <w:rPr>
                <w:b/>
              </w:rPr>
            </w:pPr>
            <w:r w:rsidRPr="00450252">
              <w:rPr>
                <w:b/>
              </w:rPr>
              <w:t>Applications</w:t>
            </w:r>
          </w:p>
          <w:p w14:paraId="6B4EAC27" w14:textId="77777777" w:rsidR="00D662C4" w:rsidRPr="00450252" w:rsidRDefault="00D662C4" w:rsidP="00B97D18">
            <w:pPr>
              <w:rPr>
                <w:b/>
              </w:rPr>
            </w:pPr>
            <w:r w:rsidRPr="00450252">
              <w:rPr>
                <w:b/>
              </w:rPr>
              <w:t>Received</w:t>
            </w:r>
          </w:p>
        </w:tc>
        <w:tc>
          <w:tcPr>
            <w:tcW w:w="1082" w:type="dxa"/>
          </w:tcPr>
          <w:p w14:paraId="442F4CF4" w14:textId="77777777" w:rsidR="00D662C4" w:rsidRPr="00450252" w:rsidRDefault="00D662C4" w:rsidP="00B97D18">
            <w:pPr>
              <w:rPr>
                <w:b/>
                <w:bCs/>
              </w:rPr>
            </w:pPr>
            <w:r w:rsidRPr="00450252">
              <w:rPr>
                <w:b/>
                <w:bCs/>
              </w:rPr>
              <w:t># Admitted</w:t>
            </w:r>
          </w:p>
          <w:p w14:paraId="65A7FEFC" w14:textId="77777777" w:rsidR="00D662C4" w:rsidRPr="00450252" w:rsidRDefault="00D662C4" w:rsidP="00B97D18">
            <w:pPr>
              <w:rPr>
                <w:b/>
                <w:bCs/>
              </w:rPr>
            </w:pPr>
            <w:r w:rsidRPr="00450252">
              <w:rPr>
                <w:b/>
                <w:bCs/>
              </w:rPr>
              <w:t>Total</w:t>
            </w:r>
          </w:p>
        </w:tc>
        <w:tc>
          <w:tcPr>
            <w:tcW w:w="1289" w:type="dxa"/>
          </w:tcPr>
          <w:p w14:paraId="78EDFB49" w14:textId="1BAB38DB" w:rsidR="00D662C4" w:rsidRPr="00450252" w:rsidRDefault="00D662C4" w:rsidP="00B97D18">
            <w:pPr>
              <w:rPr>
                <w:b/>
                <w:bCs/>
              </w:rPr>
            </w:pPr>
            <w:r w:rsidRPr="00450252">
              <w:rPr>
                <w:b/>
                <w:bCs/>
              </w:rPr>
              <w:t># Out of Progression or program</w:t>
            </w:r>
          </w:p>
        </w:tc>
        <w:tc>
          <w:tcPr>
            <w:tcW w:w="1954" w:type="dxa"/>
          </w:tcPr>
          <w:p w14:paraId="650411EB" w14:textId="1FD5C527" w:rsidR="00D662C4" w:rsidRPr="00450252" w:rsidRDefault="00D662C4" w:rsidP="005F47AE">
            <w:pPr>
              <w:rPr>
                <w:b/>
                <w:bCs/>
              </w:rPr>
            </w:pPr>
            <w:r w:rsidRPr="00450252">
              <w:rPr>
                <w:b/>
                <w:bCs/>
              </w:rPr>
              <w:t># Out of Progression or program</w:t>
            </w:r>
            <w:r>
              <w:rPr>
                <w:b/>
                <w:bCs/>
              </w:rPr>
              <w:t xml:space="preserve"> – RE_ADMIT</w:t>
            </w:r>
          </w:p>
        </w:tc>
        <w:tc>
          <w:tcPr>
            <w:tcW w:w="2409" w:type="dxa"/>
          </w:tcPr>
          <w:p w14:paraId="69171FCC" w14:textId="1781AE2F" w:rsidR="00D662C4" w:rsidRPr="00450252" w:rsidRDefault="00D662C4" w:rsidP="005F47AE">
            <w:pPr>
              <w:rPr>
                <w:b/>
                <w:bCs/>
              </w:rPr>
            </w:pPr>
            <w:r w:rsidRPr="00450252">
              <w:rPr>
                <w:b/>
                <w:bCs/>
              </w:rPr>
              <w:t xml:space="preserve"> Non-completers</w:t>
            </w:r>
          </w:p>
        </w:tc>
      </w:tr>
      <w:tr w:rsidR="00D662C4" w:rsidRPr="00450252" w14:paraId="440A6B75" w14:textId="63933C26" w:rsidTr="00D662C4">
        <w:trPr>
          <w:trHeight w:val="135"/>
        </w:trPr>
        <w:tc>
          <w:tcPr>
            <w:tcW w:w="1267" w:type="dxa"/>
            <w:vMerge w:val="restart"/>
          </w:tcPr>
          <w:p w14:paraId="078BF78A" w14:textId="77777777" w:rsidR="00D662C4" w:rsidRPr="00450252" w:rsidRDefault="00D662C4" w:rsidP="009136CC">
            <w:r w:rsidRPr="00450252">
              <w:t>Summer</w:t>
            </w:r>
          </w:p>
          <w:p w14:paraId="3BA31FD4" w14:textId="411445D6" w:rsidR="00D662C4" w:rsidRPr="00450252" w:rsidRDefault="00D662C4" w:rsidP="009136CC">
            <w:r w:rsidRPr="00450252">
              <w:t>5/2018</w:t>
            </w:r>
          </w:p>
        </w:tc>
        <w:tc>
          <w:tcPr>
            <w:tcW w:w="1349" w:type="dxa"/>
            <w:vMerge w:val="restart"/>
          </w:tcPr>
          <w:p w14:paraId="4123A7BF" w14:textId="587C8264" w:rsidR="00D662C4" w:rsidRPr="00450252" w:rsidRDefault="00D662C4" w:rsidP="009136CC">
            <w:r w:rsidRPr="00450252">
              <w:t>26</w:t>
            </w:r>
          </w:p>
        </w:tc>
        <w:tc>
          <w:tcPr>
            <w:tcW w:w="1082" w:type="dxa"/>
            <w:vMerge w:val="restart"/>
          </w:tcPr>
          <w:p w14:paraId="0FE72641" w14:textId="1E6D6B90" w:rsidR="00D662C4" w:rsidRPr="00450252" w:rsidRDefault="00D662C4" w:rsidP="009136CC">
            <w:r w:rsidRPr="00450252">
              <w:t>1</w:t>
            </w:r>
            <w:r>
              <w:t>6</w:t>
            </w:r>
          </w:p>
        </w:tc>
        <w:tc>
          <w:tcPr>
            <w:tcW w:w="1289" w:type="dxa"/>
            <w:vMerge w:val="restart"/>
          </w:tcPr>
          <w:p w14:paraId="31B34A41" w14:textId="2591DBF5" w:rsidR="00D662C4" w:rsidRPr="00450252" w:rsidRDefault="00D662C4" w:rsidP="009136CC">
            <w:r w:rsidRPr="00450252">
              <w:t>2</w:t>
            </w:r>
          </w:p>
        </w:tc>
        <w:tc>
          <w:tcPr>
            <w:tcW w:w="1954" w:type="dxa"/>
            <w:vMerge w:val="restart"/>
          </w:tcPr>
          <w:p w14:paraId="2380CDB9" w14:textId="196B65D1" w:rsidR="00D662C4" w:rsidRPr="00450252" w:rsidRDefault="00D662C4" w:rsidP="00CB40EC">
            <w:r>
              <w:t>2</w:t>
            </w:r>
          </w:p>
        </w:tc>
        <w:tc>
          <w:tcPr>
            <w:tcW w:w="2409" w:type="dxa"/>
          </w:tcPr>
          <w:p w14:paraId="4A66ED61" w14:textId="68306432" w:rsidR="00D662C4" w:rsidRPr="00450252" w:rsidRDefault="00D662C4" w:rsidP="00CB40EC">
            <w:r w:rsidRPr="00450252">
              <w:t># Attrition/ %</w:t>
            </w:r>
          </w:p>
          <w:p w14:paraId="6724DCC8" w14:textId="77777777" w:rsidR="00D662C4" w:rsidRPr="00450252" w:rsidRDefault="00D662C4" w:rsidP="00CB40EC">
            <w:r w:rsidRPr="00450252">
              <w:t>1-2 semester</w:t>
            </w:r>
          </w:p>
          <w:p w14:paraId="463473C2" w14:textId="424F3E67" w:rsidR="00D662C4" w:rsidRPr="00450252" w:rsidRDefault="00D662C4" w:rsidP="00CB40EC">
            <w:r w:rsidRPr="00450252">
              <w:t>7/1</w:t>
            </w:r>
            <w:r w:rsidR="004B50B1">
              <w:t>4</w:t>
            </w:r>
            <w:r w:rsidRPr="00450252">
              <w:t xml:space="preserve"> </w:t>
            </w:r>
            <w:r w:rsidR="00B16DCF">
              <w:t xml:space="preserve">= </w:t>
            </w:r>
            <w:r w:rsidRPr="00450252">
              <w:t>46%</w:t>
            </w:r>
          </w:p>
        </w:tc>
      </w:tr>
      <w:tr w:rsidR="00D662C4" w:rsidRPr="00450252" w14:paraId="4C1E18A1" w14:textId="77777777" w:rsidTr="00D662C4">
        <w:trPr>
          <w:trHeight w:val="135"/>
        </w:trPr>
        <w:tc>
          <w:tcPr>
            <w:tcW w:w="1267" w:type="dxa"/>
            <w:vMerge/>
          </w:tcPr>
          <w:p w14:paraId="7A5D70C8" w14:textId="77777777" w:rsidR="00D662C4" w:rsidRPr="00450252" w:rsidRDefault="00D662C4" w:rsidP="009136CC"/>
        </w:tc>
        <w:tc>
          <w:tcPr>
            <w:tcW w:w="1349" w:type="dxa"/>
            <w:vMerge/>
          </w:tcPr>
          <w:p w14:paraId="2E3CEBEE" w14:textId="7C08D843" w:rsidR="00D662C4" w:rsidRPr="00450252" w:rsidRDefault="00D662C4" w:rsidP="009136CC"/>
        </w:tc>
        <w:tc>
          <w:tcPr>
            <w:tcW w:w="1082" w:type="dxa"/>
            <w:vMerge/>
          </w:tcPr>
          <w:p w14:paraId="7233E58C" w14:textId="77777777" w:rsidR="00D662C4" w:rsidRPr="00450252" w:rsidRDefault="00D662C4" w:rsidP="009136CC"/>
        </w:tc>
        <w:tc>
          <w:tcPr>
            <w:tcW w:w="1289" w:type="dxa"/>
            <w:vMerge/>
          </w:tcPr>
          <w:p w14:paraId="4BFA0EC4" w14:textId="77777777" w:rsidR="00D662C4" w:rsidRPr="00450252" w:rsidRDefault="00D662C4" w:rsidP="009136CC"/>
        </w:tc>
        <w:tc>
          <w:tcPr>
            <w:tcW w:w="1954" w:type="dxa"/>
            <w:vMerge/>
          </w:tcPr>
          <w:p w14:paraId="665D7975" w14:textId="77777777" w:rsidR="00D662C4" w:rsidRPr="00450252" w:rsidRDefault="00D662C4" w:rsidP="00CB40EC">
            <w:pPr>
              <w:rPr>
                <w:b/>
              </w:rPr>
            </w:pPr>
          </w:p>
        </w:tc>
        <w:tc>
          <w:tcPr>
            <w:tcW w:w="2409" w:type="dxa"/>
          </w:tcPr>
          <w:p w14:paraId="78BB31BC" w14:textId="1F60F9D7" w:rsidR="00D662C4" w:rsidRPr="00450252" w:rsidRDefault="00D662C4" w:rsidP="00CB40EC">
            <w:r w:rsidRPr="00450252">
              <w:rPr>
                <w:b/>
              </w:rPr>
              <w:t>NAACLS Standard</w:t>
            </w:r>
            <w:r w:rsidRPr="00450252">
              <w:t xml:space="preserve"> # Attrition/ %</w:t>
            </w:r>
          </w:p>
          <w:p w14:paraId="7E0992B4" w14:textId="77777777" w:rsidR="00D662C4" w:rsidRPr="00450252" w:rsidRDefault="00D662C4" w:rsidP="00CB40EC">
            <w:r w:rsidRPr="00450252">
              <w:t>3</w:t>
            </w:r>
            <w:r w:rsidRPr="00450252">
              <w:rPr>
                <w:vertAlign w:val="superscript"/>
              </w:rPr>
              <w:t>rd</w:t>
            </w:r>
            <w:r w:rsidRPr="00450252">
              <w:t xml:space="preserve"> semester</w:t>
            </w:r>
          </w:p>
          <w:p w14:paraId="6480C3AF" w14:textId="0C5F5B60" w:rsidR="00D662C4" w:rsidRDefault="004B50B1" w:rsidP="00CB40EC">
            <w:r>
              <w:t>2</w:t>
            </w:r>
            <w:r w:rsidR="00D662C4" w:rsidRPr="00450252">
              <w:t>/</w:t>
            </w:r>
            <w:r>
              <w:t>1</w:t>
            </w:r>
            <w:r w:rsidR="00B16DCF">
              <w:t>4</w:t>
            </w:r>
            <w:r w:rsidR="00D662C4" w:rsidRPr="00450252">
              <w:t xml:space="preserve"> </w:t>
            </w:r>
            <w:r w:rsidR="00B16DCF">
              <w:t xml:space="preserve">= </w:t>
            </w:r>
            <w:r>
              <w:t>1</w:t>
            </w:r>
            <w:r w:rsidR="000E4844">
              <w:t>3</w:t>
            </w:r>
            <w:r w:rsidR="00D662C4" w:rsidRPr="00450252">
              <w:t>%</w:t>
            </w:r>
          </w:p>
          <w:p w14:paraId="5315460D" w14:textId="7EAC980C" w:rsidR="000E4844" w:rsidRPr="000E4844" w:rsidRDefault="000E4844" w:rsidP="00CB40EC">
            <w:pPr>
              <w:rPr>
                <w:b/>
                <w:bCs/>
              </w:rPr>
            </w:pPr>
            <w:r>
              <w:rPr>
                <w:b/>
                <w:bCs/>
              </w:rPr>
              <w:t>Graduation Rate 87%</w:t>
            </w:r>
          </w:p>
        </w:tc>
      </w:tr>
      <w:tr w:rsidR="00D662C4" w:rsidRPr="00450252" w14:paraId="4C2AE5CA" w14:textId="58D17672" w:rsidTr="00D662C4">
        <w:trPr>
          <w:trHeight w:val="270"/>
        </w:trPr>
        <w:tc>
          <w:tcPr>
            <w:tcW w:w="1267" w:type="dxa"/>
            <w:vMerge w:val="restart"/>
          </w:tcPr>
          <w:p w14:paraId="39AD4E41" w14:textId="77777777" w:rsidR="00D662C4" w:rsidRPr="00450252" w:rsidRDefault="00D662C4" w:rsidP="009136CC">
            <w:r w:rsidRPr="00450252">
              <w:t xml:space="preserve">Fall </w:t>
            </w:r>
          </w:p>
          <w:p w14:paraId="782B62BD" w14:textId="03146DF3" w:rsidR="00D662C4" w:rsidRPr="00450252" w:rsidRDefault="00D662C4" w:rsidP="009136CC">
            <w:r w:rsidRPr="00450252">
              <w:t>8/2018</w:t>
            </w:r>
          </w:p>
        </w:tc>
        <w:tc>
          <w:tcPr>
            <w:tcW w:w="1349" w:type="dxa"/>
            <w:vMerge w:val="restart"/>
          </w:tcPr>
          <w:p w14:paraId="30C39534" w14:textId="156C9BC8" w:rsidR="00D662C4" w:rsidRPr="00450252" w:rsidRDefault="00D662C4" w:rsidP="009136CC">
            <w:r w:rsidRPr="00450252">
              <w:t>25</w:t>
            </w:r>
          </w:p>
        </w:tc>
        <w:tc>
          <w:tcPr>
            <w:tcW w:w="1082" w:type="dxa"/>
            <w:vMerge w:val="restart"/>
          </w:tcPr>
          <w:p w14:paraId="5A3FBD90" w14:textId="14F193A7" w:rsidR="00D662C4" w:rsidRPr="00450252" w:rsidRDefault="00D662C4" w:rsidP="009136CC">
            <w:r w:rsidRPr="00450252">
              <w:t>15</w:t>
            </w:r>
          </w:p>
        </w:tc>
        <w:tc>
          <w:tcPr>
            <w:tcW w:w="1289" w:type="dxa"/>
            <w:vMerge w:val="restart"/>
          </w:tcPr>
          <w:p w14:paraId="5A5816B3" w14:textId="6BEA7CD8" w:rsidR="00D662C4" w:rsidRPr="00450252" w:rsidRDefault="00D662C4" w:rsidP="009136CC">
            <w:r w:rsidRPr="00450252">
              <w:t>1</w:t>
            </w:r>
          </w:p>
        </w:tc>
        <w:tc>
          <w:tcPr>
            <w:tcW w:w="1954" w:type="dxa"/>
            <w:vMerge w:val="restart"/>
          </w:tcPr>
          <w:p w14:paraId="20EFB691" w14:textId="77777777" w:rsidR="00D662C4" w:rsidRPr="00450252" w:rsidRDefault="00D662C4" w:rsidP="00FB70DD"/>
        </w:tc>
        <w:tc>
          <w:tcPr>
            <w:tcW w:w="2409" w:type="dxa"/>
          </w:tcPr>
          <w:p w14:paraId="78D26E12" w14:textId="2B095ADE" w:rsidR="00D662C4" w:rsidRPr="00450252" w:rsidRDefault="00D662C4" w:rsidP="00FB70DD">
            <w:r w:rsidRPr="00450252">
              <w:t># Attrition/ %</w:t>
            </w:r>
          </w:p>
          <w:p w14:paraId="3BD5903E" w14:textId="77777777" w:rsidR="00D662C4" w:rsidRPr="00450252" w:rsidRDefault="00D662C4" w:rsidP="00FB70DD">
            <w:r w:rsidRPr="00450252">
              <w:t>1-2 semester</w:t>
            </w:r>
          </w:p>
          <w:p w14:paraId="006BC59F" w14:textId="101A2870" w:rsidR="00D662C4" w:rsidRPr="00450252" w:rsidRDefault="00D662C4" w:rsidP="00FB70DD">
            <w:r w:rsidRPr="00450252">
              <w:t xml:space="preserve">5/14 </w:t>
            </w:r>
            <w:r w:rsidR="00B16DCF">
              <w:t xml:space="preserve">= </w:t>
            </w:r>
            <w:r w:rsidRPr="00450252">
              <w:t>36%</w:t>
            </w:r>
          </w:p>
        </w:tc>
      </w:tr>
      <w:tr w:rsidR="00D662C4" w:rsidRPr="00A94615" w14:paraId="39E4BFD0" w14:textId="77777777" w:rsidTr="00D662C4">
        <w:trPr>
          <w:trHeight w:val="270"/>
        </w:trPr>
        <w:tc>
          <w:tcPr>
            <w:tcW w:w="1267" w:type="dxa"/>
            <w:vMerge/>
          </w:tcPr>
          <w:p w14:paraId="57016317" w14:textId="77777777" w:rsidR="00D662C4" w:rsidRPr="00450252" w:rsidRDefault="00D662C4" w:rsidP="009136CC"/>
        </w:tc>
        <w:tc>
          <w:tcPr>
            <w:tcW w:w="1349" w:type="dxa"/>
            <w:vMerge/>
          </w:tcPr>
          <w:p w14:paraId="6B4355C6" w14:textId="77777777" w:rsidR="00D662C4" w:rsidRPr="00450252" w:rsidRDefault="00D662C4" w:rsidP="009136CC"/>
        </w:tc>
        <w:tc>
          <w:tcPr>
            <w:tcW w:w="1082" w:type="dxa"/>
            <w:vMerge/>
          </w:tcPr>
          <w:p w14:paraId="113E86C4" w14:textId="77777777" w:rsidR="00D662C4" w:rsidRPr="00450252" w:rsidRDefault="00D662C4" w:rsidP="009136CC"/>
        </w:tc>
        <w:tc>
          <w:tcPr>
            <w:tcW w:w="1289" w:type="dxa"/>
            <w:vMerge/>
          </w:tcPr>
          <w:p w14:paraId="26C4CE2B" w14:textId="77777777" w:rsidR="00D662C4" w:rsidRPr="00450252" w:rsidRDefault="00D662C4" w:rsidP="009136CC"/>
        </w:tc>
        <w:tc>
          <w:tcPr>
            <w:tcW w:w="1954" w:type="dxa"/>
            <w:vMerge/>
          </w:tcPr>
          <w:p w14:paraId="322369DA" w14:textId="77777777" w:rsidR="00D662C4" w:rsidRPr="00450252" w:rsidRDefault="00D662C4" w:rsidP="00FB70DD">
            <w:pPr>
              <w:rPr>
                <w:b/>
              </w:rPr>
            </w:pPr>
          </w:p>
        </w:tc>
        <w:tc>
          <w:tcPr>
            <w:tcW w:w="2409" w:type="dxa"/>
          </w:tcPr>
          <w:p w14:paraId="77FF704A" w14:textId="273B89D5" w:rsidR="00D662C4" w:rsidRPr="00450252" w:rsidRDefault="00D662C4" w:rsidP="00FB70DD">
            <w:r w:rsidRPr="00450252">
              <w:rPr>
                <w:b/>
              </w:rPr>
              <w:t>NAACLS Standard</w:t>
            </w:r>
            <w:r w:rsidRPr="00450252">
              <w:t xml:space="preserve"> # Attrition/ %</w:t>
            </w:r>
          </w:p>
          <w:p w14:paraId="1D83C524" w14:textId="77777777" w:rsidR="00D662C4" w:rsidRPr="00450252" w:rsidRDefault="00D662C4" w:rsidP="00FB70DD">
            <w:r w:rsidRPr="00450252">
              <w:t>3</w:t>
            </w:r>
            <w:r w:rsidRPr="00450252">
              <w:rPr>
                <w:vertAlign w:val="superscript"/>
              </w:rPr>
              <w:t>rd</w:t>
            </w:r>
            <w:r w:rsidRPr="00450252">
              <w:t xml:space="preserve"> semester</w:t>
            </w:r>
          </w:p>
          <w:p w14:paraId="56EA0498" w14:textId="77777777" w:rsidR="00D662C4" w:rsidRDefault="00D662C4" w:rsidP="00FB70DD">
            <w:r w:rsidRPr="00450252">
              <w:t>0/1</w:t>
            </w:r>
            <w:r w:rsidR="00B16DCF">
              <w:t>4</w:t>
            </w:r>
            <w:r w:rsidRPr="00450252">
              <w:t xml:space="preserve"> </w:t>
            </w:r>
            <w:r w:rsidR="00B16DCF">
              <w:t xml:space="preserve">= </w:t>
            </w:r>
            <w:r w:rsidRPr="00450252">
              <w:t>0%</w:t>
            </w:r>
          </w:p>
          <w:p w14:paraId="67260D9A" w14:textId="3F3E7B2C" w:rsidR="000E4844" w:rsidRPr="00450252" w:rsidRDefault="000E4844" w:rsidP="00FB70DD">
            <w:r>
              <w:rPr>
                <w:b/>
                <w:bCs/>
              </w:rPr>
              <w:t>Graduation Rate 100%</w:t>
            </w:r>
          </w:p>
        </w:tc>
      </w:tr>
      <w:tr w:rsidR="00D662C4" w:rsidRPr="00A94615" w14:paraId="76305113" w14:textId="543D032B" w:rsidTr="00D662C4">
        <w:trPr>
          <w:trHeight w:val="270"/>
        </w:trPr>
        <w:tc>
          <w:tcPr>
            <w:tcW w:w="1267" w:type="dxa"/>
            <w:vMerge w:val="restart"/>
          </w:tcPr>
          <w:p w14:paraId="1B0B022F" w14:textId="77777777" w:rsidR="00D662C4" w:rsidRPr="00B16DCF" w:rsidRDefault="00D662C4" w:rsidP="009136CC">
            <w:r w:rsidRPr="00B16DCF">
              <w:t>Summer</w:t>
            </w:r>
          </w:p>
          <w:p w14:paraId="3CE1814E" w14:textId="5006CF68" w:rsidR="00D662C4" w:rsidRPr="00B16DCF" w:rsidRDefault="00D662C4" w:rsidP="009136CC">
            <w:r w:rsidRPr="00B16DCF">
              <w:t xml:space="preserve">5/19 </w:t>
            </w:r>
          </w:p>
          <w:p w14:paraId="170C56F9" w14:textId="1AC2C3E2" w:rsidR="00D662C4" w:rsidRPr="00B16DCF" w:rsidRDefault="00D662C4" w:rsidP="009136CC"/>
        </w:tc>
        <w:tc>
          <w:tcPr>
            <w:tcW w:w="1349" w:type="dxa"/>
            <w:vMerge w:val="restart"/>
          </w:tcPr>
          <w:p w14:paraId="04E63700" w14:textId="31F5DC48" w:rsidR="00D662C4" w:rsidRPr="00B16DCF" w:rsidRDefault="004B50B1" w:rsidP="009136CC">
            <w:r w:rsidRPr="00B16DCF">
              <w:t>24</w:t>
            </w:r>
          </w:p>
        </w:tc>
        <w:tc>
          <w:tcPr>
            <w:tcW w:w="1082" w:type="dxa"/>
            <w:vMerge w:val="restart"/>
          </w:tcPr>
          <w:p w14:paraId="0ED8B1B3" w14:textId="79DD2A0C" w:rsidR="00D662C4" w:rsidRPr="00B16DCF" w:rsidRDefault="00D662C4" w:rsidP="009136CC">
            <w:r w:rsidRPr="00B16DCF">
              <w:t>1</w:t>
            </w:r>
            <w:r w:rsidR="004B50B1" w:rsidRPr="00B16DCF">
              <w:t>6</w:t>
            </w:r>
          </w:p>
        </w:tc>
        <w:tc>
          <w:tcPr>
            <w:tcW w:w="1289" w:type="dxa"/>
            <w:vMerge w:val="restart"/>
          </w:tcPr>
          <w:p w14:paraId="2A25EA6F" w14:textId="650876C1" w:rsidR="00D662C4" w:rsidRPr="00B16DCF" w:rsidRDefault="004B50B1" w:rsidP="009136CC">
            <w:r w:rsidRPr="00B16DCF">
              <w:t>0</w:t>
            </w:r>
          </w:p>
        </w:tc>
        <w:tc>
          <w:tcPr>
            <w:tcW w:w="1954" w:type="dxa"/>
            <w:vMerge w:val="restart"/>
          </w:tcPr>
          <w:p w14:paraId="11BCBA14" w14:textId="34A3123C" w:rsidR="00D662C4" w:rsidRPr="00B16DCF" w:rsidRDefault="004B50B1" w:rsidP="00CB40EC">
            <w:r w:rsidRPr="00B16DCF">
              <w:t>3</w:t>
            </w:r>
          </w:p>
        </w:tc>
        <w:tc>
          <w:tcPr>
            <w:tcW w:w="2409" w:type="dxa"/>
          </w:tcPr>
          <w:p w14:paraId="4AD6F1D0" w14:textId="13A08FE3" w:rsidR="00D662C4" w:rsidRPr="00B16DCF" w:rsidRDefault="00D662C4" w:rsidP="00CB40EC">
            <w:r w:rsidRPr="00B16DCF">
              <w:t># Attrition/ %</w:t>
            </w:r>
          </w:p>
          <w:p w14:paraId="0A3A58E1" w14:textId="77777777" w:rsidR="00D662C4" w:rsidRPr="00B16DCF" w:rsidRDefault="00D662C4" w:rsidP="00CB40EC">
            <w:r w:rsidRPr="00B16DCF">
              <w:t>1-2 semester</w:t>
            </w:r>
          </w:p>
          <w:p w14:paraId="0B9F65F7" w14:textId="6485424A" w:rsidR="00D662C4" w:rsidRPr="00B16DCF" w:rsidRDefault="00D662C4" w:rsidP="00CB40EC">
            <w:r w:rsidRPr="00B16DCF">
              <w:t xml:space="preserve"> </w:t>
            </w:r>
            <w:r w:rsidR="004B50B1" w:rsidRPr="00B16DCF">
              <w:t>5/19</w:t>
            </w:r>
            <w:r w:rsidR="00B16DCF">
              <w:t xml:space="preserve"> </w:t>
            </w:r>
            <w:r w:rsidR="00B16DCF" w:rsidRPr="00B16DCF">
              <w:t>=</w:t>
            </w:r>
            <w:r w:rsidR="00B16DCF">
              <w:t xml:space="preserve"> </w:t>
            </w:r>
            <w:r w:rsidR="00B16DCF" w:rsidRPr="00B16DCF">
              <w:t>26</w:t>
            </w:r>
            <w:r w:rsidRPr="00B16DCF">
              <w:t xml:space="preserve">% </w:t>
            </w:r>
          </w:p>
        </w:tc>
      </w:tr>
      <w:tr w:rsidR="00D662C4" w:rsidRPr="00A94615" w14:paraId="5E6D18E8" w14:textId="77777777" w:rsidTr="00D662C4">
        <w:trPr>
          <w:trHeight w:val="270"/>
        </w:trPr>
        <w:tc>
          <w:tcPr>
            <w:tcW w:w="1267" w:type="dxa"/>
            <w:vMerge/>
          </w:tcPr>
          <w:p w14:paraId="4606EA7D" w14:textId="77777777" w:rsidR="00D662C4" w:rsidRPr="00B16DCF" w:rsidRDefault="00D662C4" w:rsidP="009136CC"/>
        </w:tc>
        <w:tc>
          <w:tcPr>
            <w:tcW w:w="1349" w:type="dxa"/>
            <w:vMerge/>
          </w:tcPr>
          <w:p w14:paraId="7FD98E91" w14:textId="4F713B90" w:rsidR="00D662C4" w:rsidRPr="00B16DCF" w:rsidRDefault="00D662C4" w:rsidP="009136CC"/>
        </w:tc>
        <w:tc>
          <w:tcPr>
            <w:tcW w:w="1082" w:type="dxa"/>
            <w:vMerge/>
          </w:tcPr>
          <w:p w14:paraId="583F49D5" w14:textId="77777777" w:rsidR="00D662C4" w:rsidRPr="00B16DCF" w:rsidRDefault="00D662C4" w:rsidP="009136CC"/>
        </w:tc>
        <w:tc>
          <w:tcPr>
            <w:tcW w:w="1289" w:type="dxa"/>
            <w:vMerge/>
          </w:tcPr>
          <w:p w14:paraId="0F0065A5" w14:textId="77777777" w:rsidR="00D662C4" w:rsidRPr="00B16DCF" w:rsidRDefault="00D662C4" w:rsidP="009136CC"/>
        </w:tc>
        <w:tc>
          <w:tcPr>
            <w:tcW w:w="1954" w:type="dxa"/>
            <w:vMerge/>
          </w:tcPr>
          <w:p w14:paraId="4F893F03" w14:textId="77777777" w:rsidR="00D662C4" w:rsidRPr="00B16DCF" w:rsidRDefault="00D662C4" w:rsidP="00CB40EC">
            <w:pPr>
              <w:rPr>
                <w:b/>
              </w:rPr>
            </w:pPr>
          </w:p>
        </w:tc>
        <w:tc>
          <w:tcPr>
            <w:tcW w:w="2409" w:type="dxa"/>
          </w:tcPr>
          <w:p w14:paraId="206D9026" w14:textId="103B571A" w:rsidR="00D662C4" w:rsidRPr="00B16DCF" w:rsidRDefault="00D662C4" w:rsidP="00CB40EC">
            <w:r w:rsidRPr="00B16DCF">
              <w:rPr>
                <w:b/>
              </w:rPr>
              <w:t>NAACLS Standard</w:t>
            </w:r>
            <w:r w:rsidRPr="00B16DCF">
              <w:t xml:space="preserve"> # Attrition/ %</w:t>
            </w:r>
          </w:p>
          <w:p w14:paraId="1F699D86" w14:textId="77777777" w:rsidR="00D662C4" w:rsidRPr="00B16DCF" w:rsidRDefault="00D662C4" w:rsidP="00CB40EC">
            <w:r w:rsidRPr="00B16DCF">
              <w:t>3</w:t>
            </w:r>
            <w:r w:rsidRPr="00B16DCF">
              <w:rPr>
                <w:vertAlign w:val="superscript"/>
              </w:rPr>
              <w:t>rd</w:t>
            </w:r>
            <w:r w:rsidRPr="00B16DCF">
              <w:t xml:space="preserve"> semester</w:t>
            </w:r>
          </w:p>
          <w:p w14:paraId="62F12409" w14:textId="77777777" w:rsidR="00D662C4" w:rsidRDefault="004B50B1" w:rsidP="00CB40EC">
            <w:r w:rsidRPr="00B16DCF">
              <w:t>1/19</w:t>
            </w:r>
            <w:r w:rsidR="00B16DCF">
              <w:t xml:space="preserve"> </w:t>
            </w:r>
            <w:r w:rsidR="00B16DCF" w:rsidRPr="00B16DCF">
              <w:t>=</w:t>
            </w:r>
            <w:r w:rsidR="00B16DCF">
              <w:t xml:space="preserve"> </w:t>
            </w:r>
            <w:r w:rsidR="00B16DCF" w:rsidRPr="00B16DCF">
              <w:t>5%</w:t>
            </w:r>
          </w:p>
          <w:p w14:paraId="1D4828AF" w14:textId="089BFB9A" w:rsidR="000E4844" w:rsidRPr="00B16DCF" w:rsidRDefault="000E4844" w:rsidP="00CB40EC">
            <w:r>
              <w:rPr>
                <w:b/>
                <w:bCs/>
              </w:rPr>
              <w:t>Graduation Rate 95%</w:t>
            </w:r>
          </w:p>
        </w:tc>
      </w:tr>
      <w:tr w:rsidR="00D662C4" w:rsidRPr="00A94615" w14:paraId="24853686" w14:textId="3B4CCFEF" w:rsidTr="00D662C4">
        <w:trPr>
          <w:trHeight w:val="135"/>
        </w:trPr>
        <w:tc>
          <w:tcPr>
            <w:tcW w:w="1267" w:type="dxa"/>
            <w:vMerge w:val="restart"/>
          </w:tcPr>
          <w:p w14:paraId="3C8A27F8" w14:textId="77777777" w:rsidR="00D662C4" w:rsidRPr="00CE602E" w:rsidRDefault="00D662C4" w:rsidP="009136CC">
            <w:r w:rsidRPr="00CE602E">
              <w:t>Fall</w:t>
            </w:r>
          </w:p>
          <w:p w14:paraId="528C9C08" w14:textId="41251E40" w:rsidR="00D662C4" w:rsidRPr="00CE602E" w:rsidRDefault="00D662C4" w:rsidP="009136CC">
            <w:r w:rsidRPr="00CE602E">
              <w:t>5/19</w:t>
            </w:r>
          </w:p>
        </w:tc>
        <w:tc>
          <w:tcPr>
            <w:tcW w:w="1349" w:type="dxa"/>
            <w:vMerge w:val="restart"/>
          </w:tcPr>
          <w:p w14:paraId="0EB483D9" w14:textId="3A863A81" w:rsidR="00D662C4" w:rsidRPr="00CE602E" w:rsidRDefault="00D662C4" w:rsidP="009136CC">
            <w:r w:rsidRPr="00CE602E">
              <w:t>2</w:t>
            </w:r>
            <w:r w:rsidR="00B16DCF" w:rsidRPr="00CE602E">
              <w:t>1</w:t>
            </w:r>
          </w:p>
        </w:tc>
        <w:tc>
          <w:tcPr>
            <w:tcW w:w="1082" w:type="dxa"/>
            <w:vMerge w:val="restart"/>
          </w:tcPr>
          <w:p w14:paraId="3E32D168" w14:textId="42848B80" w:rsidR="00D662C4" w:rsidRPr="00CE602E" w:rsidRDefault="00D662C4" w:rsidP="009136CC">
            <w:r w:rsidRPr="00CE602E">
              <w:t>1</w:t>
            </w:r>
            <w:r w:rsidR="00E76273">
              <w:t>4</w:t>
            </w:r>
          </w:p>
        </w:tc>
        <w:tc>
          <w:tcPr>
            <w:tcW w:w="1289" w:type="dxa"/>
            <w:vMerge w:val="restart"/>
          </w:tcPr>
          <w:p w14:paraId="3E9857C0" w14:textId="33817036" w:rsidR="00D662C4" w:rsidRPr="00CE602E" w:rsidRDefault="00CE602E" w:rsidP="009136CC">
            <w:r w:rsidRPr="00CE602E">
              <w:t>0</w:t>
            </w:r>
          </w:p>
        </w:tc>
        <w:tc>
          <w:tcPr>
            <w:tcW w:w="1954" w:type="dxa"/>
            <w:vMerge w:val="restart"/>
          </w:tcPr>
          <w:p w14:paraId="2DACC4FE" w14:textId="07BA85E3" w:rsidR="00D662C4" w:rsidRPr="00CE602E" w:rsidRDefault="00CE602E" w:rsidP="00CB40EC">
            <w:r w:rsidRPr="00CE602E">
              <w:t>0</w:t>
            </w:r>
          </w:p>
        </w:tc>
        <w:tc>
          <w:tcPr>
            <w:tcW w:w="2409" w:type="dxa"/>
          </w:tcPr>
          <w:p w14:paraId="766C0404" w14:textId="5F432344" w:rsidR="00D662C4" w:rsidRPr="00CE602E" w:rsidRDefault="00D662C4" w:rsidP="00CB40EC">
            <w:r w:rsidRPr="00CE602E">
              <w:t># Attrition/ %</w:t>
            </w:r>
          </w:p>
          <w:p w14:paraId="0D1EC6F8" w14:textId="77777777" w:rsidR="00D662C4" w:rsidRPr="00CE602E" w:rsidRDefault="00D662C4" w:rsidP="00CB40EC">
            <w:r w:rsidRPr="00CE602E">
              <w:t>1-2 semester</w:t>
            </w:r>
          </w:p>
          <w:p w14:paraId="756B39D6" w14:textId="0E7BBC3F" w:rsidR="00D662C4" w:rsidRPr="00CE602E" w:rsidRDefault="00CE602E" w:rsidP="00CB40EC">
            <w:r w:rsidRPr="00CE602E">
              <w:t>5/1</w:t>
            </w:r>
            <w:r w:rsidR="00E76273">
              <w:t>4</w:t>
            </w:r>
            <w:r w:rsidRPr="00CE602E">
              <w:t xml:space="preserve"> = 3</w:t>
            </w:r>
            <w:r w:rsidR="00E76273">
              <w:t>6</w:t>
            </w:r>
            <w:r w:rsidRPr="00CE602E">
              <w:t>%</w:t>
            </w:r>
          </w:p>
        </w:tc>
      </w:tr>
      <w:tr w:rsidR="00D662C4" w:rsidRPr="00A94615" w14:paraId="37612A97" w14:textId="77777777" w:rsidTr="00D662C4">
        <w:trPr>
          <w:trHeight w:val="135"/>
        </w:trPr>
        <w:tc>
          <w:tcPr>
            <w:tcW w:w="1267" w:type="dxa"/>
            <w:vMerge/>
          </w:tcPr>
          <w:p w14:paraId="0B1F4C39" w14:textId="77777777" w:rsidR="00D662C4" w:rsidRPr="00CE602E" w:rsidRDefault="00D662C4" w:rsidP="009136CC"/>
        </w:tc>
        <w:tc>
          <w:tcPr>
            <w:tcW w:w="1349" w:type="dxa"/>
            <w:vMerge/>
          </w:tcPr>
          <w:p w14:paraId="5F0D933F" w14:textId="774AC974" w:rsidR="00D662C4" w:rsidRPr="00CE602E" w:rsidRDefault="00D662C4" w:rsidP="009136CC"/>
        </w:tc>
        <w:tc>
          <w:tcPr>
            <w:tcW w:w="1082" w:type="dxa"/>
            <w:vMerge/>
          </w:tcPr>
          <w:p w14:paraId="26D6CBBA" w14:textId="77777777" w:rsidR="00D662C4" w:rsidRPr="00CE602E" w:rsidRDefault="00D662C4" w:rsidP="009136CC"/>
        </w:tc>
        <w:tc>
          <w:tcPr>
            <w:tcW w:w="1289" w:type="dxa"/>
            <w:vMerge/>
          </w:tcPr>
          <w:p w14:paraId="1952715E" w14:textId="77777777" w:rsidR="00D662C4" w:rsidRPr="00CE602E" w:rsidRDefault="00D662C4" w:rsidP="009136CC"/>
        </w:tc>
        <w:tc>
          <w:tcPr>
            <w:tcW w:w="1954" w:type="dxa"/>
            <w:vMerge/>
          </w:tcPr>
          <w:p w14:paraId="2BB828FC" w14:textId="77777777" w:rsidR="00D662C4" w:rsidRPr="00CE602E" w:rsidRDefault="00D662C4" w:rsidP="00CB40EC">
            <w:pPr>
              <w:rPr>
                <w:b/>
              </w:rPr>
            </w:pPr>
          </w:p>
        </w:tc>
        <w:tc>
          <w:tcPr>
            <w:tcW w:w="2409" w:type="dxa"/>
          </w:tcPr>
          <w:p w14:paraId="780E5AD0" w14:textId="580DFD38" w:rsidR="00D662C4" w:rsidRPr="00CE602E" w:rsidRDefault="00D662C4" w:rsidP="00CB40EC">
            <w:r w:rsidRPr="00CE602E">
              <w:rPr>
                <w:b/>
              </w:rPr>
              <w:t>NAACLS Standard</w:t>
            </w:r>
            <w:r w:rsidRPr="00CE602E">
              <w:t xml:space="preserve"> # Attrition/ %</w:t>
            </w:r>
          </w:p>
          <w:p w14:paraId="77DF1DDC" w14:textId="77777777" w:rsidR="00D662C4" w:rsidRPr="00CE602E" w:rsidRDefault="00D662C4" w:rsidP="00CB40EC">
            <w:r w:rsidRPr="00CE602E">
              <w:t>3</w:t>
            </w:r>
            <w:r w:rsidRPr="00CE602E">
              <w:rPr>
                <w:vertAlign w:val="superscript"/>
              </w:rPr>
              <w:t>rd</w:t>
            </w:r>
            <w:r w:rsidRPr="00CE602E">
              <w:t xml:space="preserve"> semester</w:t>
            </w:r>
          </w:p>
          <w:p w14:paraId="78F421CE" w14:textId="77777777" w:rsidR="00D662C4" w:rsidRDefault="00CE602E" w:rsidP="00CB40EC">
            <w:r w:rsidRPr="00CE602E">
              <w:t>0/13 = 0%</w:t>
            </w:r>
          </w:p>
          <w:p w14:paraId="0AD3F1FA" w14:textId="02E6367D" w:rsidR="000E4844" w:rsidRPr="00CE602E" w:rsidRDefault="000E4844" w:rsidP="00CB40EC">
            <w:r>
              <w:rPr>
                <w:b/>
                <w:bCs/>
              </w:rPr>
              <w:t>Graduation Rate 100%</w:t>
            </w:r>
          </w:p>
        </w:tc>
      </w:tr>
      <w:tr w:rsidR="007C6B2A" w:rsidRPr="00A94615" w14:paraId="3EA7FE80" w14:textId="77777777" w:rsidTr="00B16DCF">
        <w:trPr>
          <w:trHeight w:val="135"/>
        </w:trPr>
        <w:tc>
          <w:tcPr>
            <w:tcW w:w="1267" w:type="dxa"/>
            <w:vMerge w:val="restart"/>
          </w:tcPr>
          <w:p w14:paraId="23E1CC6C" w14:textId="2476E27A" w:rsidR="007C6B2A" w:rsidRPr="00B9730B" w:rsidRDefault="007C6B2A" w:rsidP="007C6B2A">
            <w:r w:rsidRPr="00B9730B">
              <w:t>Summer 5/20</w:t>
            </w:r>
          </w:p>
        </w:tc>
        <w:tc>
          <w:tcPr>
            <w:tcW w:w="1349" w:type="dxa"/>
            <w:vMerge w:val="restart"/>
          </w:tcPr>
          <w:p w14:paraId="571A3E61" w14:textId="3C0B27F2" w:rsidR="007C6B2A" w:rsidRPr="00B9730B" w:rsidRDefault="00E76273" w:rsidP="007C6B2A">
            <w:r w:rsidRPr="00B9730B">
              <w:t>22</w:t>
            </w:r>
          </w:p>
        </w:tc>
        <w:tc>
          <w:tcPr>
            <w:tcW w:w="1082" w:type="dxa"/>
            <w:vMerge w:val="restart"/>
          </w:tcPr>
          <w:p w14:paraId="24D7FDAF" w14:textId="5AAAF9B3" w:rsidR="007C6B2A" w:rsidRPr="00B9730B" w:rsidRDefault="007C6B2A" w:rsidP="007C6B2A">
            <w:r w:rsidRPr="00B9730B">
              <w:t>17</w:t>
            </w:r>
          </w:p>
        </w:tc>
        <w:tc>
          <w:tcPr>
            <w:tcW w:w="1289" w:type="dxa"/>
            <w:vMerge w:val="restart"/>
          </w:tcPr>
          <w:p w14:paraId="0D2BF260" w14:textId="074FC2B2" w:rsidR="007C6B2A" w:rsidRPr="00B9730B" w:rsidRDefault="00E76273" w:rsidP="007C6B2A">
            <w:r w:rsidRPr="00B9730B">
              <w:t>1</w:t>
            </w:r>
          </w:p>
        </w:tc>
        <w:tc>
          <w:tcPr>
            <w:tcW w:w="1954" w:type="dxa"/>
            <w:vMerge w:val="restart"/>
          </w:tcPr>
          <w:p w14:paraId="1C03F128" w14:textId="3D04A681" w:rsidR="007C6B2A" w:rsidRPr="00B9730B" w:rsidRDefault="00E76273" w:rsidP="007C6B2A">
            <w:pPr>
              <w:rPr>
                <w:b/>
              </w:rPr>
            </w:pPr>
            <w:r w:rsidRPr="00B9730B">
              <w:rPr>
                <w:b/>
              </w:rPr>
              <w:t>0</w:t>
            </w:r>
          </w:p>
        </w:tc>
        <w:tc>
          <w:tcPr>
            <w:tcW w:w="2409" w:type="dxa"/>
          </w:tcPr>
          <w:p w14:paraId="6D8FE965" w14:textId="77777777" w:rsidR="007C6B2A" w:rsidRPr="00CE602E" w:rsidRDefault="007C6B2A" w:rsidP="007C6B2A">
            <w:r w:rsidRPr="00CE602E">
              <w:t># Attrition/ %</w:t>
            </w:r>
          </w:p>
          <w:p w14:paraId="44F9BA08" w14:textId="77777777" w:rsidR="007C6B2A" w:rsidRPr="00CE602E" w:rsidRDefault="007C6B2A" w:rsidP="007C6B2A">
            <w:r w:rsidRPr="00CE602E">
              <w:t>1-2 semester</w:t>
            </w:r>
          </w:p>
          <w:p w14:paraId="69FE1182" w14:textId="3BC837A6" w:rsidR="007C6B2A" w:rsidRPr="00A94615" w:rsidRDefault="00E76273" w:rsidP="007C6B2A">
            <w:pPr>
              <w:rPr>
                <w:b/>
                <w:highlight w:val="yellow"/>
              </w:rPr>
            </w:pPr>
            <w:r>
              <w:t>4</w:t>
            </w:r>
            <w:r w:rsidR="007C6B2A" w:rsidRPr="00CE602E">
              <w:t>/1</w:t>
            </w:r>
            <w:r>
              <w:t>7</w:t>
            </w:r>
            <w:r w:rsidR="007C6B2A" w:rsidRPr="00CE602E">
              <w:t xml:space="preserve"> = </w:t>
            </w:r>
            <w:r>
              <w:t>23</w:t>
            </w:r>
            <w:r w:rsidR="007C6B2A" w:rsidRPr="00CE602E">
              <w:t>%</w:t>
            </w:r>
          </w:p>
        </w:tc>
      </w:tr>
      <w:tr w:rsidR="007C6B2A" w:rsidRPr="00A94615" w14:paraId="56AD32D6" w14:textId="77777777" w:rsidTr="00D662C4">
        <w:trPr>
          <w:trHeight w:val="135"/>
        </w:trPr>
        <w:tc>
          <w:tcPr>
            <w:tcW w:w="1267" w:type="dxa"/>
            <w:vMerge/>
          </w:tcPr>
          <w:p w14:paraId="789E1BBF" w14:textId="77777777" w:rsidR="007C6B2A" w:rsidRPr="00A94615" w:rsidRDefault="007C6B2A" w:rsidP="007C6B2A">
            <w:pPr>
              <w:rPr>
                <w:highlight w:val="yellow"/>
              </w:rPr>
            </w:pPr>
          </w:p>
        </w:tc>
        <w:tc>
          <w:tcPr>
            <w:tcW w:w="1349" w:type="dxa"/>
            <w:vMerge/>
          </w:tcPr>
          <w:p w14:paraId="649B5E54" w14:textId="77777777" w:rsidR="007C6B2A" w:rsidRPr="00A94615" w:rsidRDefault="007C6B2A" w:rsidP="007C6B2A">
            <w:pPr>
              <w:rPr>
                <w:highlight w:val="yellow"/>
              </w:rPr>
            </w:pPr>
          </w:p>
        </w:tc>
        <w:tc>
          <w:tcPr>
            <w:tcW w:w="1082" w:type="dxa"/>
            <w:vMerge/>
          </w:tcPr>
          <w:p w14:paraId="377EA4BE" w14:textId="77777777" w:rsidR="007C6B2A" w:rsidRPr="00A94615" w:rsidRDefault="007C6B2A" w:rsidP="007C6B2A">
            <w:pPr>
              <w:rPr>
                <w:highlight w:val="yellow"/>
              </w:rPr>
            </w:pPr>
          </w:p>
        </w:tc>
        <w:tc>
          <w:tcPr>
            <w:tcW w:w="1289" w:type="dxa"/>
            <w:vMerge/>
          </w:tcPr>
          <w:p w14:paraId="1082D9E7" w14:textId="77777777" w:rsidR="007C6B2A" w:rsidRPr="00A94615" w:rsidRDefault="007C6B2A" w:rsidP="007C6B2A">
            <w:pPr>
              <w:rPr>
                <w:highlight w:val="yellow"/>
              </w:rPr>
            </w:pPr>
          </w:p>
        </w:tc>
        <w:tc>
          <w:tcPr>
            <w:tcW w:w="1954" w:type="dxa"/>
            <w:vMerge/>
          </w:tcPr>
          <w:p w14:paraId="06EE3456" w14:textId="77777777" w:rsidR="007C6B2A" w:rsidRPr="00A94615" w:rsidRDefault="007C6B2A" w:rsidP="007C6B2A">
            <w:pPr>
              <w:rPr>
                <w:b/>
                <w:highlight w:val="yellow"/>
              </w:rPr>
            </w:pPr>
          </w:p>
        </w:tc>
        <w:tc>
          <w:tcPr>
            <w:tcW w:w="2409" w:type="dxa"/>
          </w:tcPr>
          <w:p w14:paraId="5284CAA4" w14:textId="77777777" w:rsidR="007C6B2A" w:rsidRPr="00CE602E" w:rsidRDefault="007C6B2A" w:rsidP="007C6B2A">
            <w:r w:rsidRPr="00CE602E">
              <w:rPr>
                <w:b/>
              </w:rPr>
              <w:t>NAACLS Standard</w:t>
            </w:r>
            <w:r w:rsidRPr="00CE602E">
              <w:t xml:space="preserve"> # Attrition/ %</w:t>
            </w:r>
          </w:p>
          <w:p w14:paraId="4B5EE958" w14:textId="77777777" w:rsidR="007C6B2A" w:rsidRPr="00CE602E" w:rsidRDefault="007C6B2A" w:rsidP="007C6B2A">
            <w:r w:rsidRPr="00CE602E">
              <w:t>3</w:t>
            </w:r>
            <w:r w:rsidRPr="00CE602E">
              <w:rPr>
                <w:vertAlign w:val="superscript"/>
              </w:rPr>
              <w:t>rd</w:t>
            </w:r>
            <w:r w:rsidRPr="00CE602E">
              <w:t xml:space="preserve"> semester</w:t>
            </w:r>
          </w:p>
          <w:p w14:paraId="26E26E43" w14:textId="77777777" w:rsidR="007C6B2A" w:rsidRDefault="00E76273" w:rsidP="007C6B2A">
            <w:r>
              <w:t>2/</w:t>
            </w:r>
            <w:r w:rsidR="007C6B2A" w:rsidRPr="00CE602E">
              <w:t>1</w:t>
            </w:r>
            <w:r>
              <w:t>7</w:t>
            </w:r>
            <w:r w:rsidR="007C6B2A" w:rsidRPr="00CE602E">
              <w:t xml:space="preserve"> = </w:t>
            </w:r>
            <w:r>
              <w:t>12</w:t>
            </w:r>
            <w:r w:rsidR="007C6B2A" w:rsidRPr="00CE602E">
              <w:t>%</w:t>
            </w:r>
          </w:p>
          <w:p w14:paraId="7B5A6A4E" w14:textId="02C98568" w:rsidR="000E4844" w:rsidRPr="00A94615" w:rsidRDefault="000E4844" w:rsidP="007C6B2A">
            <w:pPr>
              <w:rPr>
                <w:b/>
                <w:highlight w:val="yellow"/>
              </w:rPr>
            </w:pPr>
            <w:r>
              <w:rPr>
                <w:b/>
                <w:bCs/>
              </w:rPr>
              <w:t>Graduation Rate 88%</w:t>
            </w:r>
          </w:p>
        </w:tc>
      </w:tr>
      <w:tr w:rsidR="007C6B2A" w:rsidRPr="00A94615" w14:paraId="21BA955F" w14:textId="77777777" w:rsidTr="00B16DCF">
        <w:trPr>
          <w:trHeight w:val="135"/>
        </w:trPr>
        <w:tc>
          <w:tcPr>
            <w:tcW w:w="1267" w:type="dxa"/>
            <w:vMerge w:val="restart"/>
          </w:tcPr>
          <w:p w14:paraId="5267DA2B" w14:textId="6AC47DE2" w:rsidR="007C6B2A" w:rsidRPr="00B9730B" w:rsidRDefault="007C6B2A" w:rsidP="007C6B2A">
            <w:r w:rsidRPr="00B9730B">
              <w:t>Fall 8/20</w:t>
            </w:r>
          </w:p>
        </w:tc>
        <w:tc>
          <w:tcPr>
            <w:tcW w:w="1349" w:type="dxa"/>
            <w:vMerge w:val="restart"/>
          </w:tcPr>
          <w:p w14:paraId="13265387" w14:textId="412ADD71" w:rsidR="007C6B2A" w:rsidRPr="00B9730B" w:rsidRDefault="00B9730B" w:rsidP="007C6B2A">
            <w:r w:rsidRPr="00B9730B">
              <w:t>9</w:t>
            </w:r>
          </w:p>
        </w:tc>
        <w:tc>
          <w:tcPr>
            <w:tcW w:w="1082" w:type="dxa"/>
            <w:vMerge w:val="restart"/>
          </w:tcPr>
          <w:p w14:paraId="405F2EEB" w14:textId="6C3A3C2A" w:rsidR="007C6B2A" w:rsidRPr="00B9730B" w:rsidRDefault="007C6B2A" w:rsidP="007C6B2A">
            <w:r w:rsidRPr="00B9730B">
              <w:t>8</w:t>
            </w:r>
          </w:p>
        </w:tc>
        <w:tc>
          <w:tcPr>
            <w:tcW w:w="1289" w:type="dxa"/>
            <w:vMerge w:val="restart"/>
          </w:tcPr>
          <w:p w14:paraId="1E97D526" w14:textId="2666445E" w:rsidR="007C6B2A" w:rsidRPr="00B9730B" w:rsidRDefault="00D3364D" w:rsidP="007C6B2A">
            <w:r w:rsidRPr="00B9730B">
              <w:t>2</w:t>
            </w:r>
          </w:p>
        </w:tc>
        <w:tc>
          <w:tcPr>
            <w:tcW w:w="1954" w:type="dxa"/>
            <w:vMerge w:val="restart"/>
          </w:tcPr>
          <w:p w14:paraId="6DE465EC" w14:textId="54A20AEA" w:rsidR="007C6B2A" w:rsidRPr="00B9730B" w:rsidRDefault="00B9730B" w:rsidP="007C6B2A">
            <w:pPr>
              <w:rPr>
                <w:b/>
              </w:rPr>
            </w:pPr>
            <w:r w:rsidRPr="00B9730B">
              <w:rPr>
                <w:b/>
              </w:rPr>
              <w:t>0</w:t>
            </w:r>
          </w:p>
        </w:tc>
        <w:tc>
          <w:tcPr>
            <w:tcW w:w="2409" w:type="dxa"/>
          </w:tcPr>
          <w:p w14:paraId="713EEF22" w14:textId="77777777" w:rsidR="007C6B2A" w:rsidRPr="00CE602E" w:rsidRDefault="007C6B2A" w:rsidP="007C6B2A">
            <w:r w:rsidRPr="00CE602E">
              <w:t># Attrition/ %</w:t>
            </w:r>
          </w:p>
          <w:p w14:paraId="1668ED94" w14:textId="77777777" w:rsidR="007C6B2A" w:rsidRPr="00CE602E" w:rsidRDefault="007C6B2A" w:rsidP="007C6B2A">
            <w:r w:rsidRPr="00CE602E">
              <w:t>1-2 semester</w:t>
            </w:r>
          </w:p>
          <w:p w14:paraId="41D8DC3C" w14:textId="68332D00" w:rsidR="007C6B2A" w:rsidRPr="00A94615" w:rsidRDefault="00B9730B" w:rsidP="007C6B2A">
            <w:pPr>
              <w:rPr>
                <w:b/>
                <w:highlight w:val="yellow"/>
              </w:rPr>
            </w:pPr>
            <w:r>
              <w:t>2</w:t>
            </w:r>
            <w:r w:rsidR="007C6B2A" w:rsidRPr="00CE602E">
              <w:t>/</w:t>
            </w:r>
            <w:r>
              <w:t>8</w:t>
            </w:r>
            <w:r w:rsidR="007C6B2A" w:rsidRPr="00CE602E">
              <w:t xml:space="preserve"> = </w:t>
            </w:r>
            <w:r>
              <w:t>25</w:t>
            </w:r>
            <w:r w:rsidR="007C6B2A" w:rsidRPr="00CE602E">
              <w:t>%</w:t>
            </w:r>
          </w:p>
        </w:tc>
      </w:tr>
      <w:tr w:rsidR="007C6B2A" w:rsidRPr="00A94615" w14:paraId="583CAC5A" w14:textId="77777777" w:rsidTr="00D662C4">
        <w:trPr>
          <w:trHeight w:val="135"/>
        </w:trPr>
        <w:tc>
          <w:tcPr>
            <w:tcW w:w="1267" w:type="dxa"/>
            <w:vMerge/>
          </w:tcPr>
          <w:p w14:paraId="698A86CA" w14:textId="77777777" w:rsidR="007C6B2A" w:rsidRPr="00A94615" w:rsidRDefault="007C6B2A" w:rsidP="007C6B2A">
            <w:pPr>
              <w:rPr>
                <w:highlight w:val="yellow"/>
              </w:rPr>
            </w:pPr>
          </w:p>
        </w:tc>
        <w:tc>
          <w:tcPr>
            <w:tcW w:w="1349" w:type="dxa"/>
            <w:vMerge/>
          </w:tcPr>
          <w:p w14:paraId="0261D1F2" w14:textId="77777777" w:rsidR="007C6B2A" w:rsidRPr="00A94615" w:rsidRDefault="007C6B2A" w:rsidP="007C6B2A">
            <w:pPr>
              <w:rPr>
                <w:highlight w:val="yellow"/>
              </w:rPr>
            </w:pPr>
          </w:p>
        </w:tc>
        <w:tc>
          <w:tcPr>
            <w:tcW w:w="1082" w:type="dxa"/>
            <w:vMerge/>
          </w:tcPr>
          <w:p w14:paraId="7DBFED3A" w14:textId="77777777" w:rsidR="007C6B2A" w:rsidRPr="00A94615" w:rsidRDefault="007C6B2A" w:rsidP="007C6B2A">
            <w:pPr>
              <w:rPr>
                <w:highlight w:val="yellow"/>
              </w:rPr>
            </w:pPr>
          </w:p>
        </w:tc>
        <w:tc>
          <w:tcPr>
            <w:tcW w:w="1289" w:type="dxa"/>
            <w:vMerge/>
          </w:tcPr>
          <w:p w14:paraId="46FCD2BE" w14:textId="77777777" w:rsidR="007C6B2A" w:rsidRPr="00A94615" w:rsidRDefault="007C6B2A" w:rsidP="007C6B2A">
            <w:pPr>
              <w:rPr>
                <w:highlight w:val="yellow"/>
              </w:rPr>
            </w:pPr>
          </w:p>
        </w:tc>
        <w:tc>
          <w:tcPr>
            <w:tcW w:w="1954" w:type="dxa"/>
            <w:vMerge/>
          </w:tcPr>
          <w:p w14:paraId="6C2D9990" w14:textId="77777777" w:rsidR="007C6B2A" w:rsidRPr="00A94615" w:rsidRDefault="007C6B2A" w:rsidP="007C6B2A">
            <w:pPr>
              <w:rPr>
                <w:b/>
                <w:highlight w:val="yellow"/>
              </w:rPr>
            </w:pPr>
          </w:p>
        </w:tc>
        <w:tc>
          <w:tcPr>
            <w:tcW w:w="2409" w:type="dxa"/>
          </w:tcPr>
          <w:p w14:paraId="0A824029" w14:textId="77777777" w:rsidR="007C6B2A" w:rsidRPr="00CE602E" w:rsidRDefault="007C6B2A" w:rsidP="007C6B2A">
            <w:r w:rsidRPr="00CE602E">
              <w:rPr>
                <w:b/>
              </w:rPr>
              <w:t>NAACLS Standard</w:t>
            </w:r>
            <w:r w:rsidRPr="00CE602E">
              <w:t xml:space="preserve"> # Attrition/ %</w:t>
            </w:r>
          </w:p>
          <w:p w14:paraId="41E40EA1" w14:textId="77777777" w:rsidR="007C6B2A" w:rsidRPr="00CE602E" w:rsidRDefault="007C6B2A" w:rsidP="007C6B2A">
            <w:r w:rsidRPr="00CE602E">
              <w:t>3</w:t>
            </w:r>
            <w:r w:rsidRPr="00CE602E">
              <w:rPr>
                <w:vertAlign w:val="superscript"/>
              </w:rPr>
              <w:t>rd</w:t>
            </w:r>
            <w:r w:rsidRPr="00CE602E">
              <w:t xml:space="preserve"> semester</w:t>
            </w:r>
          </w:p>
          <w:p w14:paraId="5BCE2E6E" w14:textId="77777777" w:rsidR="007C6B2A" w:rsidRDefault="00B9730B" w:rsidP="007C6B2A">
            <w:r>
              <w:t>1</w:t>
            </w:r>
            <w:r w:rsidR="007C6B2A" w:rsidRPr="00CE602E">
              <w:t>/</w:t>
            </w:r>
            <w:r>
              <w:t>8</w:t>
            </w:r>
            <w:r w:rsidR="007C6B2A" w:rsidRPr="00CE602E">
              <w:t xml:space="preserve"> = </w:t>
            </w:r>
            <w:r>
              <w:t>13</w:t>
            </w:r>
            <w:r w:rsidR="007C6B2A" w:rsidRPr="00CE602E">
              <w:t>%</w:t>
            </w:r>
          </w:p>
          <w:p w14:paraId="2C6921A6" w14:textId="409B83F7" w:rsidR="000E4844" w:rsidRPr="00A94615" w:rsidRDefault="000E4844" w:rsidP="007C6B2A">
            <w:pPr>
              <w:rPr>
                <w:b/>
                <w:highlight w:val="yellow"/>
              </w:rPr>
            </w:pPr>
            <w:r>
              <w:rPr>
                <w:b/>
                <w:bCs/>
              </w:rPr>
              <w:t>Graduation Rate 87%</w:t>
            </w:r>
          </w:p>
        </w:tc>
      </w:tr>
      <w:tr w:rsidR="00B9730B" w:rsidRPr="00A94615" w14:paraId="4DA1C03C" w14:textId="77777777" w:rsidTr="00B9730B">
        <w:trPr>
          <w:trHeight w:val="270"/>
        </w:trPr>
        <w:tc>
          <w:tcPr>
            <w:tcW w:w="1267" w:type="dxa"/>
            <w:vMerge w:val="restart"/>
          </w:tcPr>
          <w:p w14:paraId="53A22AD5" w14:textId="3322E5EC" w:rsidR="00B9730B" w:rsidRPr="00B9730B" w:rsidRDefault="00B9730B" w:rsidP="007C6B2A">
            <w:r w:rsidRPr="00B9730B">
              <w:t>Summer 5/21</w:t>
            </w:r>
          </w:p>
        </w:tc>
        <w:tc>
          <w:tcPr>
            <w:tcW w:w="1349" w:type="dxa"/>
            <w:vMerge w:val="restart"/>
          </w:tcPr>
          <w:p w14:paraId="2826DF77" w14:textId="3EAE93F6" w:rsidR="00B9730B" w:rsidRPr="00B9730B" w:rsidRDefault="00B9730B" w:rsidP="007C6B2A">
            <w:r w:rsidRPr="00B9730B">
              <w:t>20</w:t>
            </w:r>
          </w:p>
        </w:tc>
        <w:tc>
          <w:tcPr>
            <w:tcW w:w="1082" w:type="dxa"/>
            <w:vMerge w:val="restart"/>
          </w:tcPr>
          <w:p w14:paraId="7657A4A8" w14:textId="112305EE" w:rsidR="00B9730B" w:rsidRPr="00B9730B" w:rsidRDefault="00B9730B" w:rsidP="007C6B2A">
            <w:r w:rsidRPr="00B9730B">
              <w:t>13</w:t>
            </w:r>
          </w:p>
        </w:tc>
        <w:tc>
          <w:tcPr>
            <w:tcW w:w="1289" w:type="dxa"/>
            <w:vMerge w:val="restart"/>
          </w:tcPr>
          <w:p w14:paraId="1B54A55D" w14:textId="50ED2C85" w:rsidR="00B9730B" w:rsidRPr="00B9730B" w:rsidRDefault="00B9730B" w:rsidP="007C6B2A">
            <w:r w:rsidRPr="00B9730B">
              <w:t>0</w:t>
            </w:r>
          </w:p>
        </w:tc>
        <w:tc>
          <w:tcPr>
            <w:tcW w:w="1954" w:type="dxa"/>
            <w:vMerge w:val="restart"/>
          </w:tcPr>
          <w:p w14:paraId="6A020FB1" w14:textId="59281049" w:rsidR="00B9730B" w:rsidRPr="00B9730B" w:rsidRDefault="00B9730B" w:rsidP="007C6B2A">
            <w:pPr>
              <w:rPr>
                <w:b/>
              </w:rPr>
            </w:pPr>
            <w:r w:rsidRPr="00B9730B">
              <w:rPr>
                <w:b/>
              </w:rPr>
              <w:t>2</w:t>
            </w:r>
          </w:p>
        </w:tc>
        <w:tc>
          <w:tcPr>
            <w:tcW w:w="2409" w:type="dxa"/>
          </w:tcPr>
          <w:p w14:paraId="19589CA8" w14:textId="2609AC73" w:rsidR="00B9730B" w:rsidRPr="00B9730B" w:rsidRDefault="00B9730B" w:rsidP="007C6B2A">
            <w:pPr>
              <w:rPr>
                <w:b/>
              </w:rPr>
            </w:pPr>
            <w:r w:rsidRPr="00B9730B">
              <w:rPr>
                <w:b/>
              </w:rPr>
              <w:t>TBD</w:t>
            </w:r>
          </w:p>
        </w:tc>
      </w:tr>
      <w:tr w:rsidR="00B9730B" w:rsidRPr="00A94615" w14:paraId="4545A3AD" w14:textId="77777777" w:rsidTr="00D662C4">
        <w:trPr>
          <w:trHeight w:val="270"/>
        </w:trPr>
        <w:tc>
          <w:tcPr>
            <w:tcW w:w="1267" w:type="dxa"/>
            <w:vMerge/>
          </w:tcPr>
          <w:p w14:paraId="39A706C5" w14:textId="77777777" w:rsidR="00B9730B" w:rsidRPr="00B9730B" w:rsidRDefault="00B9730B" w:rsidP="007C6B2A"/>
        </w:tc>
        <w:tc>
          <w:tcPr>
            <w:tcW w:w="1349" w:type="dxa"/>
            <w:vMerge/>
          </w:tcPr>
          <w:p w14:paraId="57BB94AC" w14:textId="77777777" w:rsidR="00B9730B" w:rsidRPr="00B9730B" w:rsidRDefault="00B9730B" w:rsidP="007C6B2A"/>
        </w:tc>
        <w:tc>
          <w:tcPr>
            <w:tcW w:w="1082" w:type="dxa"/>
            <w:vMerge/>
          </w:tcPr>
          <w:p w14:paraId="524373E8" w14:textId="77777777" w:rsidR="00B9730B" w:rsidRPr="00B9730B" w:rsidRDefault="00B9730B" w:rsidP="007C6B2A"/>
        </w:tc>
        <w:tc>
          <w:tcPr>
            <w:tcW w:w="1289" w:type="dxa"/>
            <w:vMerge/>
          </w:tcPr>
          <w:p w14:paraId="00C27AEE" w14:textId="77777777" w:rsidR="00B9730B" w:rsidRPr="00B9730B" w:rsidRDefault="00B9730B" w:rsidP="007C6B2A"/>
        </w:tc>
        <w:tc>
          <w:tcPr>
            <w:tcW w:w="1954" w:type="dxa"/>
            <w:vMerge/>
          </w:tcPr>
          <w:p w14:paraId="3FF2A24D" w14:textId="77777777" w:rsidR="00B9730B" w:rsidRPr="00B9730B" w:rsidRDefault="00B9730B" w:rsidP="007C6B2A">
            <w:pPr>
              <w:rPr>
                <w:b/>
              </w:rPr>
            </w:pPr>
          </w:p>
        </w:tc>
        <w:tc>
          <w:tcPr>
            <w:tcW w:w="2409" w:type="dxa"/>
          </w:tcPr>
          <w:p w14:paraId="5A493366" w14:textId="591A4DC5" w:rsidR="00B9730B" w:rsidRPr="00B9730B" w:rsidRDefault="00B9730B" w:rsidP="007C6B2A">
            <w:pPr>
              <w:rPr>
                <w:b/>
              </w:rPr>
            </w:pPr>
            <w:r w:rsidRPr="00B9730B">
              <w:rPr>
                <w:b/>
              </w:rPr>
              <w:t>TBD</w:t>
            </w:r>
          </w:p>
        </w:tc>
      </w:tr>
      <w:tr w:rsidR="00B9730B" w:rsidRPr="00A94615" w14:paraId="0C313B2C" w14:textId="77777777" w:rsidTr="00B9730B">
        <w:trPr>
          <w:trHeight w:val="270"/>
        </w:trPr>
        <w:tc>
          <w:tcPr>
            <w:tcW w:w="1267" w:type="dxa"/>
            <w:vMerge w:val="restart"/>
          </w:tcPr>
          <w:p w14:paraId="07106D64" w14:textId="77777777" w:rsidR="00B9730B" w:rsidRPr="00B9730B" w:rsidRDefault="00B9730B" w:rsidP="007C6B2A">
            <w:r w:rsidRPr="00B9730B">
              <w:t>Fall</w:t>
            </w:r>
          </w:p>
          <w:p w14:paraId="5947BCE0" w14:textId="781D9D5B" w:rsidR="00B9730B" w:rsidRPr="00B9730B" w:rsidRDefault="00B9730B" w:rsidP="007C6B2A">
            <w:r w:rsidRPr="00B9730B">
              <w:t>8/21</w:t>
            </w:r>
          </w:p>
        </w:tc>
        <w:tc>
          <w:tcPr>
            <w:tcW w:w="1349" w:type="dxa"/>
            <w:vMerge w:val="restart"/>
          </w:tcPr>
          <w:p w14:paraId="350250EE" w14:textId="21404773" w:rsidR="00B9730B" w:rsidRPr="00B9730B" w:rsidRDefault="00B9730B" w:rsidP="007C6B2A">
            <w:r w:rsidRPr="00B9730B">
              <w:t>14</w:t>
            </w:r>
          </w:p>
        </w:tc>
        <w:tc>
          <w:tcPr>
            <w:tcW w:w="1082" w:type="dxa"/>
            <w:vMerge w:val="restart"/>
          </w:tcPr>
          <w:p w14:paraId="34E7835E" w14:textId="07A739E1" w:rsidR="00B9730B" w:rsidRPr="00B9730B" w:rsidRDefault="00B9730B" w:rsidP="007C6B2A">
            <w:r w:rsidRPr="00B9730B">
              <w:t>13</w:t>
            </w:r>
          </w:p>
        </w:tc>
        <w:tc>
          <w:tcPr>
            <w:tcW w:w="1289" w:type="dxa"/>
            <w:vMerge w:val="restart"/>
          </w:tcPr>
          <w:p w14:paraId="30A77CE0" w14:textId="4C05BCB4" w:rsidR="00B9730B" w:rsidRPr="00B9730B" w:rsidRDefault="00B9730B" w:rsidP="007C6B2A">
            <w:r w:rsidRPr="00B9730B">
              <w:t>0</w:t>
            </w:r>
          </w:p>
        </w:tc>
        <w:tc>
          <w:tcPr>
            <w:tcW w:w="1954" w:type="dxa"/>
            <w:vMerge w:val="restart"/>
          </w:tcPr>
          <w:p w14:paraId="43874FC8" w14:textId="132515F1" w:rsidR="00B9730B" w:rsidRPr="00B9730B" w:rsidRDefault="00B9730B" w:rsidP="007C6B2A">
            <w:pPr>
              <w:rPr>
                <w:b/>
              </w:rPr>
            </w:pPr>
            <w:r w:rsidRPr="00B9730B">
              <w:rPr>
                <w:b/>
              </w:rPr>
              <w:t>0</w:t>
            </w:r>
          </w:p>
        </w:tc>
        <w:tc>
          <w:tcPr>
            <w:tcW w:w="2409" w:type="dxa"/>
          </w:tcPr>
          <w:p w14:paraId="246E5B0B" w14:textId="5A3846B2" w:rsidR="00B9730B" w:rsidRPr="00B9730B" w:rsidRDefault="00B9730B" w:rsidP="007C6B2A">
            <w:pPr>
              <w:rPr>
                <w:b/>
              </w:rPr>
            </w:pPr>
            <w:r w:rsidRPr="00B9730B">
              <w:rPr>
                <w:b/>
              </w:rPr>
              <w:t>TBD</w:t>
            </w:r>
          </w:p>
        </w:tc>
      </w:tr>
      <w:tr w:rsidR="00B9730B" w:rsidRPr="00A94615" w14:paraId="007078FD" w14:textId="77777777" w:rsidTr="00D662C4">
        <w:trPr>
          <w:trHeight w:val="270"/>
        </w:trPr>
        <w:tc>
          <w:tcPr>
            <w:tcW w:w="1267" w:type="dxa"/>
            <w:vMerge/>
          </w:tcPr>
          <w:p w14:paraId="65A21C8A" w14:textId="77777777" w:rsidR="00B9730B" w:rsidRPr="00B9730B" w:rsidRDefault="00B9730B" w:rsidP="007C6B2A"/>
        </w:tc>
        <w:tc>
          <w:tcPr>
            <w:tcW w:w="1349" w:type="dxa"/>
            <w:vMerge/>
          </w:tcPr>
          <w:p w14:paraId="172DD53E" w14:textId="77777777" w:rsidR="00B9730B" w:rsidRPr="00B9730B" w:rsidRDefault="00B9730B" w:rsidP="007C6B2A"/>
        </w:tc>
        <w:tc>
          <w:tcPr>
            <w:tcW w:w="1082" w:type="dxa"/>
            <w:vMerge/>
          </w:tcPr>
          <w:p w14:paraId="545A6FB5" w14:textId="77777777" w:rsidR="00B9730B" w:rsidRPr="00B9730B" w:rsidRDefault="00B9730B" w:rsidP="007C6B2A"/>
        </w:tc>
        <w:tc>
          <w:tcPr>
            <w:tcW w:w="1289" w:type="dxa"/>
            <w:vMerge/>
          </w:tcPr>
          <w:p w14:paraId="2C7C57D5" w14:textId="77777777" w:rsidR="00B9730B" w:rsidRPr="00B9730B" w:rsidRDefault="00B9730B" w:rsidP="007C6B2A"/>
        </w:tc>
        <w:tc>
          <w:tcPr>
            <w:tcW w:w="1954" w:type="dxa"/>
            <w:vMerge/>
          </w:tcPr>
          <w:p w14:paraId="3942617E" w14:textId="77777777" w:rsidR="00B9730B" w:rsidRPr="00B9730B" w:rsidRDefault="00B9730B" w:rsidP="007C6B2A">
            <w:pPr>
              <w:rPr>
                <w:b/>
              </w:rPr>
            </w:pPr>
          </w:p>
        </w:tc>
        <w:tc>
          <w:tcPr>
            <w:tcW w:w="2409" w:type="dxa"/>
          </w:tcPr>
          <w:p w14:paraId="42A2F3D1" w14:textId="2851DEFD" w:rsidR="00B9730B" w:rsidRPr="00B9730B" w:rsidRDefault="00B9730B" w:rsidP="007C6B2A">
            <w:pPr>
              <w:rPr>
                <w:b/>
              </w:rPr>
            </w:pPr>
            <w:r w:rsidRPr="00B9730B">
              <w:rPr>
                <w:b/>
              </w:rPr>
              <w:t>TBD</w:t>
            </w:r>
          </w:p>
        </w:tc>
      </w:tr>
    </w:tbl>
    <w:p w14:paraId="644EE345" w14:textId="77777777" w:rsidR="00250F56" w:rsidRPr="00A94615" w:rsidRDefault="00250F56" w:rsidP="00250F56">
      <w:pPr>
        <w:rPr>
          <w:highlight w:val="yellow"/>
        </w:rPr>
      </w:pPr>
    </w:p>
    <w:p w14:paraId="4171ACA0" w14:textId="77777777" w:rsidR="00250F56" w:rsidRPr="007C6B2A" w:rsidRDefault="00BA6FB0" w:rsidP="00250F56">
      <w:pPr>
        <w:pStyle w:val="ListParagraph"/>
        <w:numPr>
          <w:ilvl w:val="0"/>
          <w:numId w:val="9"/>
        </w:numPr>
        <w:rPr>
          <w:b/>
        </w:rPr>
      </w:pPr>
      <w:r w:rsidRPr="007C6B2A">
        <w:rPr>
          <w:b/>
        </w:rPr>
        <w:t>NAACLS Benchmark f</w:t>
      </w:r>
      <w:r w:rsidR="00250F56" w:rsidRPr="007C6B2A">
        <w:rPr>
          <w:b/>
        </w:rPr>
        <w:t>or Graduation Rates: Three years consecutive results of graduation rates demonstrating an average of at least 70% of students who have begun the final half of the program go on to successfully graduate from the program as calculated by the most recent three</w:t>
      </w:r>
      <w:r w:rsidR="00C24332" w:rsidRPr="007C6B2A">
        <w:rPr>
          <w:b/>
        </w:rPr>
        <w:t>-</w:t>
      </w:r>
      <w:r w:rsidR="00250F56" w:rsidRPr="007C6B2A">
        <w:rPr>
          <w:b/>
        </w:rPr>
        <w:t>year period.</w:t>
      </w:r>
    </w:p>
    <w:p w14:paraId="40F858CE" w14:textId="5ADC2157" w:rsidR="00BA6FB0" w:rsidRPr="007C6B2A" w:rsidRDefault="00C24332" w:rsidP="00250F56">
      <w:pPr>
        <w:pStyle w:val="ListParagraph"/>
        <w:numPr>
          <w:ilvl w:val="0"/>
          <w:numId w:val="7"/>
        </w:numPr>
      </w:pPr>
      <w:r w:rsidRPr="007C6B2A">
        <w:t>Retention rate – NAACLS defines</w:t>
      </w:r>
      <w:r w:rsidR="00250F56" w:rsidRPr="007C6B2A">
        <w:t xml:space="preserve"> attrition as student</w:t>
      </w:r>
      <w:r w:rsidRPr="007C6B2A">
        <w:t>s</w:t>
      </w:r>
      <w:r w:rsidR="00250F56" w:rsidRPr="007C6B2A">
        <w:t xml:space="preserve"> leaving </w:t>
      </w:r>
      <w:r w:rsidRPr="007C6B2A">
        <w:t>a</w:t>
      </w:r>
      <w:r w:rsidR="00250F56" w:rsidRPr="007C6B2A">
        <w:t>fter starting the second year of the program. We are using the third semester to define our attrition rates.</w:t>
      </w:r>
      <w:r w:rsidR="00BA6FB0" w:rsidRPr="007C6B2A">
        <w:rPr>
          <w:b/>
        </w:rPr>
        <w:t xml:space="preserve"> ** Attrition </w:t>
      </w:r>
      <w:r w:rsidRPr="007C6B2A">
        <w:rPr>
          <w:b/>
        </w:rPr>
        <w:t>rates have been documented for s</w:t>
      </w:r>
      <w:r w:rsidR="00BA6FB0" w:rsidRPr="007C6B2A">
        <w:rPr>
          <w:b/>
        </w:rPr>
        <w:t>tudents we lose first two semester</w:t>
      </w:r>
      <w:r w:rsidR="00F02C98" w:rsidRPr="007C6B2A">
        <w:rPr>
          <w:b/>
        </w:rPr>
        <w:t>s</w:t>
      </w:r>
      <w:r w:rsidR="00BA6FB0" w:rsidRPr="007C6B2A">
        <w:rPr>
          <w:b/>
        </w:rPr>
        <w:t xml:space="preserve"> as well as the 3</w:t>
      </w:r>
      <w:r w:rsidR="00BA6FB0" w:rsidRPr="007C6B2A">
        <w:rPr>
          <w:b/>
          <w:vertAlign w:val="superscript"/>
        </w:rPr>
        <w:t>rd</w:t>
      </w:r>
      <w:r w:rsidRPr="007C6B2A">
        <w:rPr>
          <w:b/>
        </w:rPr>
        <w:t xml:space="preserve"> s</w:t>
      </w:r>
      <w:r w:rsidR="00BA6FB0" w:rsidRPr="007C6B2A">
        <w:rPr>
          <w:b/>
        </w:rPr>
        <w:t>emester benchmark set by NAACLS. The graduation rate is calculated based on NAACLS standard</w:t>
      </w:r>
      <w:r w:rsidR="000E4844">
        <w:rPr>
          <w:b/>
        </w:rPr>
        <w:t xml:space="preserve"> and meets the benchmark of &gt;70%</w:t>
      </w:r>
      <w:r w:rsidR="00BA6FB0" w:rsidRPr="007C6B2A">
        <w:rPr>
          <w:b/>
        </w:rPr>
        <w:t>.</w:t>
      </w:r>
      <w:r w:rsidR="00673D06" w:rsidRPr="007C6B2A">
        <w:t xml:space="preserve"> </w:t>
      </w:r>
      <w:r w:rsidRPr="007C6B2A">
        <w:t xml:space="preserve">The </w:t>
      </w:r>
      <w:r w:rsidR="005B52EF" w:rsidRPr="007C6B2A">
        <w:t>MLT</w:t>
      </w:r>
      <w:r w:rsidR="00BA6FB0" w:rsidRPr="007C6B2A">
        <w:t xml:space="preserve"> department has met all NAACLS benchmarks in this area. </w:t>
      </w:r>
    </w:p>
    <w:p w14:paraId="1273B925" w14:textId="27A7CB8B" w:rsidR="008D4340" w:rsidRPr="00B9730B" w:rsidRDefault="00B26F6E" w:rsidP="00BA6FB0">
      <w:pPr>
        <w:pStyle w:val="ListParagraph"/>
        <w:numPr>
          <w:ilvl w:val="0"/>
          <w:numId w:val="7"/>
        </w:numPr>
      </w:pPr>
      <w:r w:rsidRPr="00B9730B">
        <w:t>We continue to have a high attrition first semester. This is comm</w:t>
      </w:r>
      <w:r w:rsidR="00F02C98" w:rsidRPr="00B9730B">
        <w:t>on</w:t>
      </w:r>
      <w:r w:rsidRPr="00B9730B">
        <w:t xml:space="preserve"> for this profession across the country. We </w:t>
      </w:r>
      <w:r w:rsidR="007C6B2A" w:rsidRPr="00B9730B">
        <w:t xml:space="preserve">have </w:t>
      </w:r>
      <w:r w:rsidR="008D4340" w:rsidRPr="00B9730B">
        <w:t>sequenc</w:t>
      </w:r>
      <w:r w:rsidR="007C6B2A" w:rsidRPr="00B9730B">
        <w:t>ed</w:t>
      </w:r>
      <w:r w:rsidR="008D4340" w:rsidRPr="00B9730B">
        <w:t xml:space="preserve"> </w:t>
      </w:r>
      <w:r w:rsidR="007C6B2A" w:rsidRPr="00B9730B">
        <w:t xml:space="preserve">the courses </w:t>
      </w:r>
      <w:r w:rsidRPr="00B9730B">
        <w:t>to help wi</w:t>
      </w:r>
      <w:r w:rsidR="008D4340" w:rsidRPr="00B9730B">
        <w:t>th retention</w:t>
      </w:r>
      <w:r w:rsidRPr="00B9730B">
        <w:t xml:space="preserve"> first semester</w:t>
      </w:r>
      <w:r w:rsidR="008D4340" w:rsidRPr="00B9730B">
        <w:t xml:space="preserve">. This lighter load for new MLT students gives them the opportunity to acclimate to the program easier. </w:t>
      </w:r>
    </w:p>
    <w:p w14:paraId="754A9045" w14:textId="71474AC8" w:rsidR="007C6B2A" w:rsidRPr="00B9730B" w:rsidRDefault="00D1338B" w:rsidP="007C6B2A">
      <w:pPr>
        <w:pStyle w:val="ListParagraph"/>
        <w:numPr>
          <w:ilvl w:val="0"/>
          <w:numId w:val="7"/>
        </w:numPr>
      </w:pPr>
      <w:r w:rsidRPr="00B9730B">
        <w:t xml:space="preserve">We have captured some of this </w:t>
      </w:r>
      <w:r w:rsidR="00B9730B" w:rsidRPr="00B9730B">
        <w:t>1</w:t>
      </w:r>
      <w:r w:rsidR="007C6B2A" w:rsidRPr="00B9730B">
        <w:t xml:space="preserve">-2 semester </w:t>
      </w:r>
      <w:r w:rsidRPr="00B9730B">
        <w:t xml:space="preserve">attrition with the award of the Short Certificate </w:t>
      </w:r>
    </w:p>
    <w:p w14:paraId="45A0B2AC" w14:textId="49F7DE7F" w:rsidR="00D3364D" w:rsidRPr="000E4844" w:rsidRDefault="00C34EA2" w:rsidP="003A09B1">
      <w:pPr>
        <w:pStyle w:val="ListParagraph"/>
        <w:numPr>
          <w:ilvl w:val="0"/>
          <w:numId w:val="7"/>
        </w:numPr>
        <w:rPr>
          <w:b/>
        </w:rPr>
      </w:pPr>
      <w:r w:rsidRPr="00B9730B">
        <w:t>We continue to send out admission letters to approximately 20-2</w:t>
      </w:r>
      <w:r w:rsidR="007C6B2A" w:rsidRPr="00B9730B">
        <w:t>5</w:t>
      </w:r>
      <w:r w:rsidRPr="00B9730B">
        <w:t xml:space="preserve"> students each admission cycle with </w:t>
      </w:r>
      <w:r w:rsidR="007C6B2A" w:rsidRPr="00B9730B">
        <w:t>around 14</w:t>
      </w:r>
      <w:r w:rsidRPr="00B9730B">
        <w:t xml:space="preserve"> students accepting a seat in the program each fall and summer semester. </w:t>
      </w:r>
      <w:r w:rsidR="007C6B2A" w:rsidRPr="00B9730B">
        <w:t xml:space="preserve">We saw a dramatic decrease in the Fall 2020 </w:t>
      </w:r>
      <w:r w:rsidR="00B9730B" w:rsidRPr="00B9730B">
        <w:t xml:space="preserve">– Fall 2021 </w:t>
      </w:r>
      <w:r w:rsidR="007C6B2A" w:rsidRPr="00B9730B">
        <w:t>admission cycle</w:t>
      </w:r>
      <w:r w:rsidR="00B9730B" w:rsidRPr="00B9730B">
        <w:t>s</w:t>
      </w:r>
      <w:r w:rsidR="007C6B2A" w:rsidRPr="00B9730B">
        <w:t xml:space="preserve"> primarily due to COVID issues</w:t>
      </w:r>
      <w:r w:rsidR="00D3364D" w:rsidRPr="00B9730B">
        <w:t xml:space="preserve">. </w:t>
      </w:r>
      <w:r w:rsidRPr="00B9730B">
        <w:t xml:space="preserve">Clinical rotations in </w:t>
      </w:r>
      <w:r w:rsidR="00D3364D" w:rsidRPr="00B9730B">
        <w:t xml:space="preserve">Phlebotomy first semester </w:t>
      </w:r>
      <w:r w:rsidRPr="00B9730B">
        <w:t xml:space="preserve">continue to be an issue and prevents any larger admission cohort. We </w:t>
      </w:r>
      <w:r w:rsidR="00D3364D" w:rsidRPr="00B9730B">
        <w:t xml:space="preserve">are currently in </w:t>
      </w:r>
      <w:r w:rsidR="00B9730B" w:rsidRPr="00B9730B">
        <w:t>negotiation</w:t>
      </w:r>
      <w:r w:rsidR="00D3364D" w:rsidRPr="00B9730B">
        <w:t xml:space="preserve"> with additional sites for phlebotomy clinicals and hope to increase admission numbers back up to pre-COVID class sizes around 18-20.</w:t>
      </w:r>
    </w:p>
    <w:p w14:paraId="451F8A73" w14:textId="660F2F39" w:rsidR="000E4844" w:rsidRDefault="000E4844" w:rsidP="000E4844">
      <w:pPr>
        <w:pStyle w:val="ListParagraph"/>
        <w:ind w:left="810"/>
      </w:pPr>
    </w:p>
    <w:p w14:paraId="6F93888D" w14:textId="09EA8A2E" w:rsidR="000E4844" w:rsidRDefault="000E4844" w:rsidP="000E4844">
      <w:pPr>
        <w:pStyle w:val="ListParagraph"/>
        <w:ind w:left="810"/>
      </w:pPr>
    </w:p>
    <w:p w14:paraId="05C3AB0E" w14:textId="77777777" w:rsidR="000E4844" w:rsidRPr="003A09B1" w:rsidRDefault="000E4844" w:rsidP="000E4844">
      <w:pPr>
        <w:pStyle w:val="ListParagraph"/>
        <w:ind w:left="810"/>
        <w:rPr>
          <w:b/>
        </w:rPr>
      </w:pPr>
    </w:p>
    <w:p w14:paraId="2F0CFEED" w14:textId="0EF57D3D" w:rsidR="00250F56" w:rsidRPr="003A09B1" w:rsidRDefault="003A09B1" w:rsidP="00250F56">
      <w:pPr>
        <w:spacing w:after="0"/>
        <w:rPr>
          <w:b/>
        </w:rPr>
      </w:pPr>
      <w:r w:rsidRPr="003A09B1">
        <w:rPr>
          <w:b/>
        </w:rPr>
        <w:lastRenderedPageBreak/>
        <w:t>IV</w:t>
      </w:r>
      <w:r w:rsidR="00250F56" w:rsidRPr="003A09B1">
        <w:rPr>
          <w:b/>
        </w:rPr>
        <w:t xml:space="preserve">. Job Placement </w:t>
      </w:r>
      <w:r w:rsidR="005B52EF" w:rsidRPr="003A09B1">
        <w:rPr>
          <w:b/>
        </w:rPr>
        <w:t>MLT</w:t>
      </w:r>
      <w:r w:rsidR="00250F56" w:rsidRPr="003A09B1">
        <w:rPr>
          <w:b/>
        </w:rPr>
        <w:t>:</w:t>
      </w:r>
    </w:p>
    <w:tbl>
      <w:tblPr>
        <w:tblStyle w:val="TableGrid"/>
        <w:tblW w:w="0" w:type="auto"/>
        <w:tblLook w:val="04A0" w:firstRow="1" w:lastRow="0" w:firstColumn="1" w:lastColumn="0" w:noHBand="0" w:noVBand="1"/>
      </w:tblPr>
      <w:tblGrid>
        <w:gridCol w:w="1732"/>
        <w:gridCol w:w="1768"/>
        <w:gridCol w:w="1329"/>
        <w:gridCol w:w="1108"/>
        <w:gridCol w:w="485"/>
        <w:gridCol w:w="483"/>
        <w:gridCol w:w="481"/>
        <w:gridCol w:w="582"/>
      </w:tblGrid>
      <w:tr w:rsidR="00186EDF" w:rsidRPr="003A09B1" w14:paraId="43F5AE3E" w14:textId="77777777" w:rsidTr="00574B73">
        <w:trPr>
          <w:trHeight w:val="135"/>
        </w:trPr>
        <w:tc>
          <w:tcPr>
            <w:tcW w:w="1732" w:type="dxa"/>
            <w:vMerge w:val="restart"/>
          </w:tcPr>
          <w:p w14:paraId="209CA0DE" w14:textId="77777777" w:rsidR="00186EDF" w:rsidRPr="003A09B1" w:rsidRDefault="00186EDF" w:rsidP="00B97D18">
            <w:pPr>
              <w:jc w:val="center"/>
            </w:pPr>
            <w:r w:rsidRPr="003A09B1">
              <w:t>Year</w:t>
            </w:r>
          </w:p>
        </w:tc>
        <w:tc>
          <w:tcPr>
            <w:tcW w:w="1768" w:type="dxa"/>
            <w:vMerge w:val="restart"/>
          </w:tcPr>
          <w:p w14:paraId="33D4252A" w14:textId="77777777" w:rsidR="00186EDF" w:rsidRPr="003A09B1" w:rsidRDefault="00186EDF" w:rsidP="00B97D18">
            <w:pPr>
              <w:jc w:val="center"/>
            </w:pPr>
            <w:r w:rsidRPr="003A09B1">
              <w:t># Program graduates</w:t>
            </w:r>
          </w:p>
        </w:tc>
        <w:tc>
          <w:tcPr>
            <w:tcW w:w="1329" w:type="dxa"/>
            <w:vMerge w:val="restart"/>
          </w:tcPr>
          <w:p w14:paraId="30E716FA" w14:textId="77777777" w:rsidR="00186EDF" w:rsidRPr="003A09B1" w:rsidRDefault="00186EDF" w:rsidP="00B97D18">
            <w:pPr>
              <w:jc w:val="center"/>
            </w:pPr>
            <w:r w:rsidRPr="003A09B1">
              <w:t># working in field</w:t>
            </w:r>
          </w:p>
        </w:tc>
        <w:tc>
          <w:tcPr>
            <w:tcW w:w="1108" w:type="dxa"/>
            <w:vMerge w:val="restart"/>
          </w:tcPr>
          <w:p w14:paraId="2C693795" w14:textId="77777777" w:rsidR="00186EDF" w:rsidRPr="003A09B1" w:rsidRDefault="00186EDF" w:rsidP="00B97D18">
            <w:pPr>
              <w:jc w:val="center"/>
            </w:pPr>
            <w:r w:rsidRPr="003A09B1">
              <w:t>% employed in field</w:t>
            </w:r>
          </w:p>
        </w:tc>
        <w:tc>
          <w:tcPr>
            <w:tcW w:w="2031" w:type="dxa"/>
            <w:gridSpan w:val="4"/>
          </w:tcPr>
          <w:p w14:paraId="5B8622E6" w14:textId="77777777" w:rsidR="00186EDF" w:rsidRPr="003A09B1" w:rsidRDefault="00186EDF" w:rsidP="00B97D18">
            <w:pPr>
              <w:jc w:val="center"/>
            </w:pPr>
            <w:r w:rsidRPr="003A09B1">
              <w:t>Type facility</w:t>
            </w:r>
          </w:p>
        </w:tc>
      </w:tr>
      <w:tr w:rsidR="00186EDF" w:rsidRPr="003A09B1" w14:paraId="661C5A14" w14:textId="77777777" w:rsidTr="00574B73">
        <w:trPr>
          <w:trHeight w:val="135"/>
        </w:trPr>
        <w:tc>
          <w:tcPr>
            <w:tcW w:w="1732" w:type="dxa"/>
            <w:vMerge/>
          </w:tcPr>
          <w:p w14:paraId="432A4E73" w14:textId="77777777" w:rsidR="00186EDF" w:rsidRPr="003A09B1" w:rsidRDefault="00186EDF" w:rsidP="00B97D18">
            <w:pPr>
              <w:jc w:val="center"/>
            </w:pPr>
          </w:p>
        </w:tc>
        <w:tc>
          <w:tcPr>
            <w:tcW w:w="1768" w:type="dxa"/>
            <w:vMerge/>
          </w:tcPr>
          <w:p w14:paraId="49106805" w14:textId="77777777" w:rsidR="00186EDF" w:rsidRPr="003A09B1" w:rsidRDefault="00186EDF" w:rsidP="00B97D18">
            <w:pPr>
              <w:jc w:val="center"/>
            </w:pPr>
          </w:p>
        </w:tc>
        <w:tc>
          <w:tcPr>
            <w:tcW w:w="1329" w:type="dxa"/>
            <w:vMerge/>
          </w:tcPr>
          <w:p w14:paraId="06DAD72E" w14:textId="77777777" w:rsidR="00186EDF" w:rsidRPr="003A09B1" w:rsidRDefault="00186EDF" w:rsidP="00B97D18">
            <w:pPr>
              <w:jc w:val="center"/>
            </w:pPr>
          </w:p>
        </w:tc>
        <w:tc>
          <w:tcPr>
            <w:tcW w:w="1108" w:type="dxa"/>
            <w:vMerge/>
          </w:tcPr>
          <w:p w14:paraId="147DBBF5" w14:textId="77777777" w:rsidR="00186EDF" w:rsidRPr="003A09B1" w:rsidRDefault="00186EDF" w:rsidP="00B97D18">
            <w:pPr>
              <w:jc w:val="center"/>
            </w:pPr>
          </w:p>
        </w:tc>
        <w:tc>
          <w:tcPr>
            <w:tcW w:w="485" w:type="dxa"/>
          </w:tcPr>
          <w:p w14:paraId="36A05AFB" w14:textId="77777777" w:rsidR="00186EDF" w:rsidRPr="003A09B1" w:rsidRDefault="00186EDF" w:rsidP="00B97D18">
            <w:pPr>
              <w:jc w:val="center"/>
            </w:pPr>
            <w:r w:rsidRPr="003A09B1">
              <w:t>H</w:t>
            </w:r>
          </w:p>
        </w:tc>
        <w:tc>
          <w:tcPr>
            <w:tcW w:w="483" w:type="dxa"/>
          </w:tcPr>
          <w:p w14:paraId="40CF12C5" w14:textId="77777777" w:rsidR="00186EDF" w:rsidRPr="003A09B1" w:rsidRDefault="00186EDF" w:rsidP="00B97D18">
            <w:pPr>
              <w:jc w:val="center"/>
            </w:pPr>
            <w:r w:rsidRPr="003A09B1">
              <w:t>RL</w:t>
            </w:r>
          </w:p>
        </w:tc>
        <w:tc>
          <w:tcPr>
            <w:tcW w:w="481" w:type="dxa"/>
          </w:tcPr>
          <w:p w14:paraId="630FE342" w14:textId="77777777" w:rsidR="00186EDF" w:rsidRPr="003A09B1" w:rsidRDefault="00186EDF" w:rsidP="00B97D18">
            <w:pPr>
              <w:jc w:val="center"/>
            </w:pPr>
            <w:r w:rsidRPr="003A09B1">
              <w:t>SL</w:t>
            </w:r>
          </w:p>
        </w:tc>
        <w:tc>
          <w:tcPr>
            <w:tcW w:w="582" w:type="dxa"/>
          </w:tcPr>
          <w:p w14:paraId="738E570E" w14:textId="77777777" w:rsidR="00186EDF" w:rsidRPr="003A09B1" w:rsidRDefault="00186EDF" w:rsidP="00B97D18">
            <w:pPr>
              <w:jc w:val="center"/>
            </w:pPr>
            <w:r w:rsidRPr="003A09B1">
              <w:t>DO/</w:t>
            </w:r>
          </w:p>
          <w:p w14:paraId="36AEAC7F" w14:textId="77777777" w:rsidR="00186EDF" w:rsidRPr="003A09B1" w:rsidRDefault="00186EDF" w:rsidP="00B97D18">
            <w:pPr>
              <w:jc w:val="center"/>
            </w:pPr>
            <w:r w:rsidRPr="003A09B1">
              <w:t>C</w:t>
            </w:r>
          </w:p>
        </w:tc>
      </w:tr>
      <w:tr w:rsidR="00186EDF" w:rsidRPr="003A09B1" w14:paraId="5DFC7FF4" w14:textId="77777777" w:rsidTr="00574B73">
        <w:tc>
          <w:tcPr>
            <w:tcW w:w="1732" w:type="dxa"/>
          </w:tcPr>
          <w:p w14:paraId="0B61AE23" w14:textId="09FC3D0F" w:rsidR="00186EDF" w:rsidRPr="003A09B1" w:rsidRDefault="00186EDF" w:rsidP="00B97D18">
            <w:pPr>
              <w:jc w:val="center"/>
            </w:pPr>
            <w:r w:rsidRPr="003A09B1">
              <w:t>2017-2018</w:t>
            </w:r>
          </w:p>
        </w:tc>
        <w:tc>
          <w:tcPr>
            <w:tcW w:w="1768" w:type="dxa"/>
          </w:tcPr>
          <w:p w14:paraId="3D6234A1" w14:textId="0CCBCA11" w:rsidR="00186EDF" w:rsidRPr="003A09B1" w:rsidRDefault="00186EDF" w:rsidP="00B97D18">
            <w:pPr>
              <w:jc w:val="center"/>
            </w:pPr>
            <w:r w:rsidRPr="003A09B1">
              <w:t>22</w:t>
            </w:r>
          </w:p>
        </w:tc>
        <w:tc>
          <w:tcPr>
            <w:tcW w:w="1329" w:type="dxa"/>
          </w:tcPr>
          <w:p w14:paraId="72C9F232" w14:textId="4C63D7EF" w:rsidR="00186EDF" w:rsidRPr="003A09B1" w:rsidRDefault="00186EDF" w:rsidP="00B97D18">
            <w:pPr>
              <w:jc w:val="center"/>
            </w:pPr>
            <w:r w:rsidRPr="003A09B1">
              <w:t>21</w:t>
            </w:r>
          </w:p>
        </w:tc>
        <w:tc>
          <w:tcPr>
            <w:tcW w:w="1108" w:type="dxa"/>
          </w:tcPr>
          <w:p w14:paraId="485D4E4B" w14:textId="6661FD9C" w:rsidR="00186EDF" w:rsidRPr="003A09B1" w:rsidRDefault="00186EDF" w:rsidP="00B97D18">
            <w:pPr>
              <w:jc w:val="center"/>
            </w:pPr>
            <w:r w:rsidRPr="003A09B1">
              <w:t>95%</w:t>
            </w:r>
          </w:p>
        </w:tc>
        <w:tc>
          <w:tcPr>
            <w:tcW w:w="485" w:type="dxa"/>
          </w:tcPr>
          <w:p w14:paraId="3E915CE7" w14:textId="6935F4F3" w:rsidR="00186EDF" w:rsidRPr="003A09B1" w:rsidRDefault="00186EDF" w:rsidP="00B97D18">
            <w:pPr>
              <w:jc w:val="center"/>
            </w:pPr>
            <w:r w:rsidRPr="003A09B1">
              <w:t>14</w:t>
            </w:r>
          </w:p>
        </w:tc>
        <w:tc>
          <w:tcPr>
            <w:tcW w:w="483" w:type="dxa"/>
          </w:tcPr>
          <w:p w14:paraId="69A5D299" w14:textId="58841F8E" w:rsidR="00186EDF" w:rsidRPr="003A09B1" w:rsidRDefault="00186EDF" w:rsidP="00B97D18">
            <w:pPr>
              <w:jc w:val="center"/>
            </w:pPr>
            <w:r w:rsidRPr="003A09B1">
              <w:t>4</w:t>
            </w:r>
          </w:p>
        </w:tc>
        <w:tc>
          <w:tcPr>
            <w:tcW w:w="481" w:type="dxa"/>
          </w:tcPr>
          <w:p w14:paraId="198D18C4" w14:textId="5FBB7EDF" w:rsidR="00186EDF" w:rsidRPr="003A09B1" w:rsidRDefault="00186EDF" w:rsidP="00B97D18">
            <w:pPr>
              <w:jc w:val="center"/>
            </w:pPr>
            <w:r w:rsidRPr="003A09B1">
              <w:t>2</w:t>
            </w:r>
          </w:p>
        </w:tc>
        <w:tc>
          <w:tcPr>
            <w:tcW w:w="582" w:type="dxa"/>
          </w:tcPr>
          <w:p w14:paraId="54FBE13B" w14:textId="36FF2D9E" w:rsidR="00186EDF" w:rsidRPr="003A09B1" w:rsidRDefault="00186EDF" w:rsidP="00B97D18">
            <w:pPr>
              <w:jc w:val="center"/>
            </w:pPr>
            <w:r w:rsidRPr="003A09B1">
              <w:t>1</w:t>
            </w:r>
          </w:p>
        </w:tc>
      </w:tr>
      <w:tr w:rsidR="00186EDF" w:rsidRPr="003A09B1" w14:paraId="7CC32CBD" w14:textId="77777777" w:rsidTr="00574B73">
        <w:tc>
          <w:tcPr>
            <w:tcW w:w="1732" w:type="dxa"/>
          </w:tcPr>
          <w:p w14:paraId="6AB86A87" w14:textId="2B750035" w:rsidR="00186EDF" w:rsidRPr="003A09B1" w:rsidRDefault="00186EDF" w:rsidP="00B97D18">
            <w:pPr>
              <w:jc w:val="center"/>
            </w:pPr>
            <w:r w:rsidRPr="003A09B1">
              <w:t>2018-2019</w:t>
            </w:r>
          </w:p>
        </w:tc>
        <w:tc>
          <w:tcPr>
            <w:tcW w:w="1768" w:type="dxa"/>
          </w:tcPr>
          <w:p w14:paraId="3FDBB30E" w14:textId="7B957AA8" w:rsidR="00186EDF" w:rsidRPr="003A09B1" w:rsidRDefault="00186EDF" w:rsidP="00B97D18">
            <w:pPr>
              <w:jc w:val="center"/>
            </w:pPr>
            <w:r w:rsidRPr="003A09B1">
              <w:t>14</w:t>
            </w:r>
          </w:p>
        </w:tc>
        <w:tc>
          <w:tcPr>
            <w:tcW w:w="1329" w:type="dxa"/>
          </w:tcPr>
          <w:p w14:paraId="0BAC6536" w14:textId="1516C8E4" w:rsidR="00186EDF" w:rsidRPr="003A09B1" w:rsidRDefault="00186EDF" w:rsidP="00B97D18">
            <w:pPr>
              <w:jc w:val="center"/>
            </w:pPr>
            <w:r w:rsidRPr="003A09B1">
              <w:t>13</w:t>
            </w:r>
          </w:p>
        </w:tc>
        <w:tc>
          <w:tcPr>
            <w:tcW w:w="1108" w:type="dxa"/>
          </w:tcPr>
          <w:p w14:paraId="6FB38A40" w14:textId="3B317E1D" w:rsidR="00186EDF" w:rsidRPr="003A09B1" w:rsidRDefault="00186EDF" w:rsidP="00B97D18">
            <w:pPr>
              <w:jc w:val="center"/>
            </w:pPr>
            <w:r w:rsidRPr="003A09B1">
              <w:t>95%</w:t>
            </w:r>
          </w:p>
        </w:tc>
        <w:tc>
          <w:tcPr>
            <w:tcW w:w="485" w:type="dxa"/>
          </w:tcPr>
          <w:p w14:paraId="55CBBDF2" w14:textId="37B6CF68" w:rsidR="00186EDF" w:rsidRPr="003A09B1" w:rsidRDefault="00186EDF" w:rsidP="00B97D18">
            <w:pPr>
              <w:jc w:val="center"/>
            </w:pPr>
            <w:r w:rsidRPr="003A09B1">
              <w:t>10</w:t>
            </w:r>
          </w:p>
        </w:tc>
        <w:tc>
          <w:tcPr>
            <w:tcW w:w="483" w:type="dxa"/>
          </w:tcPr>
          <w:p w14:paraId="0442E122" w14:textId="7B3F9B20" w:rsidR="00186EDF" w:rsidRPr="003A09B1" w:rsidRDefault="00186EDF" w:rsidP="00B97D18">
            <w:pPr>
              <w:jc w:val="center"/>
            </w:pPr>
            <w:r w:rsidRPr="003A09B1">
              <w:t>3</w:t>
            </w:r>
          </w:p>
        </w:tc>
        <w:tc>
          <w:tcPr>
            <w:tcW w:w="481" w:type="dxa"/>
          </w:tcPr>
          <w:p w14:paraId="14C37E44" w14:textId="77777777" w:rsidR="00186EDF" w:rsidRPr="003A09B1" w:rsidRDefault="00186EDF" w:rsidP="00B97D18">
            <w:pPr>
              <w:jc w:val="center"/>
            </w:pPr>
          </w:p>
        </w:tc>
        <w:tc>
          <w:tcPr>
            <w:tcW w:w="582" w:type="dxa"/>
          </w:tcPr>
          <w:p w14:paraId="2ACFB0ED" w14:textId="522F0C5E" w:rsidR="00186EDF" w:rsidRPr="003A09B1" w:rsidRDefault="00186EDF" w:rsidP="00B97D18">
            <w:pPr>
              <w:jc w:val="center"/>
            </w:pPr>
            <w:r w:rsidRPr="003A09B1">
              <w:t>1</w:t>
            </w:r>
          </w:p>
        </w:tc>
      </w:tr>
      <w:tr w:rsidR="00186EDF" w:rsidRPr="003A09B1" w14:paraId="20F3362C" w14:textId="77777777" w:rsidTr="00574B73">
        <w:tc>
          <w:tcPr>
            <w:tcW w:w="1732" w:type="dxa"/>
          </w:tcPr>
          <w:p w14:paraId="2A8D38DB" w14:textId="68D2C76F" w:rsidR="00186EDF" w:rsidRPr="003A09B1" w:rsidRDefault="00186EDF" w:rsidP="00B97D18">
            <w:pPr>
              <w:jc w:val="center"/>
            </w:pPr>
            <w:r w:rsidRPr="003A09B1">
              <w:t>2019-2020</w:t>
            </w:r>
          </w:p>
        </w:tc>
        <w:tc>
          <w:tcPr>
            <w:tcW w:w="1768" w:type="dxa"/>
          </w:tcPr>
          <w:p w14:paraId="06CAFD2F" w14:textId="6FE3D4ED" w:rsidR="00186EDF" w:rsidRPr="003A09B1" w:rsidRDefault="003A09B1" w:rsidP="00B97D18">
            <w:pPr>
              <w:jc w:val="center"/>
            </w:pPr>
            <w:r w:rsidRPr="003A09B1">
              <w:t>17</w:t>
            </w:r>
          </w:p>
        </w:tc>
        <w:tc>
          <w:tcPr>
            <w:tcW w:w="1329" w:type="dxa"/>
          </w:tcPr>
          <w:p w14:paraId="53023109" w14:textId="6717D657" w:rsidR="00186EDF" w:rsidRPr="003A09B1" w:rsidRDefault="003A09B1" w:rsidP="00B97D18">
            <w:pPr>
              <w:jc w:val="center"/>
            </w:pPr>
            <w:r w:rsidRPr="003A09B1">
              <w:t>15</w:t>
            </w:r>
          </w:p>
        </w:tc>
        <w:tc>
          <w:tcPr>
            <w:tcW w:w="1108" w:type="dxa"/>
          </w:tcPr>
          <w:p w14:paraId="161FFBC4" w14:textId="06B9BBA2" w:rsidR="00186EDF" w:rsidRPr="003A09B1" w:rsidRDefault="003A09B1" w:rsidP="00B97D18">
            <w:pPr>
              <w:jc w:val="center"/>
            </w:pPr>
            <w:r w:rsidRPr="003A09B1">
              <w:t>88%</w:t>
            </w:r>
          </w:p>
        </w:tc>
        <w:tc>
          <w:tcPr>
            <w:tcW w:w="485" w:type="dxa"/>
          </w:tcPr>
          <w:p w14:paraId="640A4B58" w14:textId="5FE6146E" w:rsidR="00186EDF" w:rsidRPr="003A09B1" w:rsidRDefault="003A09B1" w:rsidP="00B97D18">
            <w:pPr>
              <w:jc w:val="center"/>
            </w:pPr>
            <w:r w:rsidRPr="003A09B1">
              <w:t>15</w:t>
            </w:r>
          </w:p>
        </w:tc>
        <w:tc>
          <w:tcPr>
            <w:tcW w:w="483" w:type="dxa"/>
          </w:tcPr>
          <w:p w14:paraId="79F95132" w14:textId="77777777" w:rsidR="00186EDF" w:rsidRPr="003A09B1" w:rsidRDefault="00186EDF" w:rsidP="00B97D18">
            <w:pPr>
              <w:jc w:val="center"/>
            </w:pPr>
          </w:p>
        </w:tc>
        <w:tc>
          <w:tcPr>
            <w:tcW w:w="481" w:type="dxa"/>
          </w:tcPr>
          <w:p w14:paraId="6CACF062" w14:textId="77777777" w:rsidR="00186EDF" w:rsidRPr="003A09B1" w:rsidRDefault="00186EDF" w:rsidP="00B97D18">
            <w:pPr>
              <w:jc w:val="center"/>
            </w:pPr>
          </w:p>
        </w:tc>
        <w:tc>
          <w:tcPr>
            <w:tcW w:w="582" w:type="dxa"/>
          </w:tcPr>
          <w:p w14:paraId="418EDE4E" w14:textId="77777777" w:rsidR="00186EDF" w:rsidRPr="003A09B1" w:rsidRDefault="00186EDF" w:rsidP="00B97D18">
            <w:pPr>
              <w:jc w:val="center"/>
            </w:pPr>
          </w:p>
        </w:tc>
      </w:tr>
      <w:tr w:rsidR="00186EDF" w:rsidRPr="003A09B1" w14:paraId="481A8D1F" w14:textId="77777777" w:rsidTr="00574B73">
        <w:tc>
          <w:tcPr>
            <w:tcW w:w="1732" w:type="dxa"/>
          </w:tcPr>
          <w:p w14:paraId="10163E70" w14:textId="77777777" w:rsidR="00186EDF" w:rsidRPr="003A09B1" w:rsidRDefault="00186EDF" w:rsidP="00B97D18">
            <w:pPr>
              <w:jc w:val="center"/>
            </w:pPr>
            <w:r w:rsidRPr="003A09B1">
              <w:t>Three Year Average</w:t>
            </w:r>
          </w:p>
        </w:tc>
        <w:tc>
          <w:tcPr>
            <w:tcW w:w="1768" w:type="dxa"/>
          </w:tcPr>
          <w:p w14:paraId="40660EC0" w14:textId="003A0504" w:rsidR="00186EDF" w:rsidRPr="003A09B1" w:rsidRDefault="003A09B1" w:rsidP="00B97D18">
            <w:pPr>
              <w:jc w:val="center"/>
            </w:pPr>
            <w:r w:rsidRPr="003A09B1">
              <w:t>40</w:t>
            </w:r>
          </w:p>
        </w:tc>
        <w:tc>
          <w:tcPr>
            <w:tcW w:w="1329" w:type="dxa"/>
          </w:tcPr>
          <w:p w14:paraId="0310BF7C" w14:textId="2361699B" w:rsidR="00186EDF" w:rsidRPr="003A09B1" w:rsidRDefault="003A09B1" w:rsidP="00B97D18">
            <w:pPr>
              <w:jc w:val="center"/>
            </w:pPr>
            <w:r w:rsidRPr="003A09B1">
              <w:t>49</w:t>
            </w:r>
          </w:p>
        </w:tc>
        <w:tc>
          <w:tcPr>
            <w:tcW w:w="1108" w:type="dxa"/>
          </w:tcPr>
          <w:p w14:paraId="348EB87C" w14:textId="6045A565" w:rsidR="00186EDF" w:rsidRPr="003A09B1" w:rsidRDefault="003A09B1" w:rsidP="00B97D18">
            <w:pPr>
              <w:jc w:val="center"/>
            </w:pPr>
            <w:r w:rsidRPr="003A09B1">
              <w:t>82</w:t>
            </w:r>
            <w:r w:rsidR="00186EDF" w:rsidRPr="003A09B1">
              <w:t>%</w:t>
            </w:r>
          </w:p>
        </w:tc>
        <w:tc>
          <w:tcPr>
            <w:tcW w:w="485" w:type="dxa"/>
          </w:tcPr>
          <w:p w14:paraId="62484EFB" w14:textId="77777777" w:rsidR="00186EDF" w:rsidRPr="003A09B1" w:rsidRDefault="00186EDF" w:rsidP="00B97D18">
            <w:pPr>
              <w:jc w:val="center"/>
            </w:pPr>
          </w:p>
        </w:tc>
        <w:tc>
          <w:tcPr>
            <w:tcW w:w="483" w:type="dxa"/>
          </w:tcPr>
          <w:p w14:paraId="0B0ACD2D" w14:textId="77777777" w:rsidR="00186EDF" w:rsidRPr="003A09B1" w:rsidRDefault="00186EDF" w:rsidP="00B97D18">
            <w:pPr>
              <w:jc w:val="center"/>
            </w:pPr>
          </w:p>
        </w:tc>
        <w:tc>
          <w:tcPr>
            <w:tcW w:w="481" w:type="dxa"/>
          </w:tcPr>
          <w:p w14:paraId="386DF098" w14:textId="77777777" w:rsidR="00186EDF" w:rsidRPr="003A09B1" w:rsidRDefault="00186EDF" w:rsidP="00B97D18">
            <w:pPr>
              <w:jc w:val="center"/>
            </w:pPr>
          </w:p>
        </w:tc>
        <w:tc>
          <w:tcPr>
            <w:tcW w:w="582" w:type="dxa"/>
          </w:tcPr>
          <w:p w14:paraId="6CB3C85D" w14:textId="77777777" w:rsidR="00186EDF" w:rsidRPr="003A09B1" w:rsidRDefault="00186EDF" w:rsidP="00B97D18">
            <w:pPr>
              <w:jc w:val="center"/>
            </w:pPr>
          </w:p>
        </w:tc>
      </w:tr>
    </w:tbl>
    <w:p w14:paraId="3DA4C97C" w14:textId="77777777" w:rsidR="00CB56DD" w:rsidRPr="003A09B1" w:rsidRDefault="00CB56DD" w:rsidP="00CB56DD">
      <w:pPr>
        <w:spacing w:after="0" w:line="240" w:lineRule="auto"/>
        <w:ind w:left="720"/>
        <w:rPr>
          <w:rFonts w:ascii="Times New Roman" w:eastAsia="Times New Roman" w:hAnsi="Times New Roman" w:cs="Times New Roman"/>
          <w:sz w:val="24"/>
          <w:szCs w:val="24"/>
        </w:rPr>
      </w:pPr>
      <w:r w:rsidRPr="003A09B1">
        <w:rPr>
          <w:rFonts w:ascii="Times New Roman" w:eastAsia="Times New Roman" w:hAnsi="Times New Roman" w:cs="Times New Roman"/>
          <w:sz w:val="24"/>
          <w:szCs w:val="24"/>
        </w:rPr>
        <w:t>H=Hospital, RL=Reference Laboratory, SL= Specialty Lab, DO</w:t>
      </w:r>
      <w:r w:rsidR="00B359D2" w:rsidRPr="003A09B1">
        <w:rPr>
          <w:rFonts w:ascii="Times New Roman" w:eastAsia="Times New Roman" w:hAnsi="Times New Roman" w:cs="Times New Roman"/>
          <w:sz w:val="24"/>
          <w:szCs w:val="24"/>
        </w:rPr>
        <w:t>/C</w:t>
      </w:r>
      <w:r w:rsidRPr="003A09B1">
        <w:rPr>
          <w:rFonts w:ascii="Times New Roman" w:eastAsia="Times New Roman" w:hAnsi="Times New Roman" w:cs="Times New Roman"/>
          <w:sz w:val="24"/>
          <w:szCs w:val="24"/>
        </w:rPr>
        <w:t>= Doctors Office</w:t>
      </w:r>
      <w:r w:rsidR="00B359D2" w:rsidRPr="003A09B1">
        <w:rPr>
          <w:rFonts w:ascii="Times New Roman" w:eastAsia="Times New Roman" w:hAnsi="Times New Roman" w:cs="Times New Roman"/>
          <w:sz w:val="24"/>
          <w:szCs w:val="24"/>
        </w:rPr>
        <w:t>/Clinic</w:t>
      </w:r>
    </w:p>
    <w:p w14:paraId="75D2711C" w14:textId="77777777" w:rsidR="00250F56" w:rsidRPr="003A09B1" w:rsidRDefault="00250F56" w:rsidP="00250F56">
      <w:pPr>
        <w:pStyle w:val="Header"/>
        <w:rPr>
          <w:b/>
        </w:rPr>
      </w:pPr>
    </w:p>
    <w:p w14:paraId="254A41EC" w14:textId="77777777" w:rsidR="00250F56" w:rsidRPr="003A09B1" w:rsidRDefault="00250F56" w:rsidP="00250F56">
      <w:pPr>
        <w:pStyle w:val="Header"/>
        <w:numPr>
          <w:ilvl w:val="0"/>
          <w:numId w:val="6"/>
        </w:numPr>
        <w:rPr>
          <w:b/>
        </w:rPr>
      </w:pPr>
      <w:r w:rsidRPr="003A09B1">
        <w:rPr>
          <w:b/>
        </w:rPr>
        <w:t>NAACLS Benchmark for Graduate Placement Rates: Three years consecutive results of graduate placement rates demonstrating that an average of at least 70% of respondent graduates either find employment in the field or a closely related field (for those that seek employment), or continue their education within one year of graduation as calculated by the most recent three</w:t>
      </w:r>
      <w:r w:rsidR="00B359D2" w:rsidRPr="003A09B1">
        <w:rPr>
          <w:b/>
        </w:rPr>
        <w:t xml:space="preserve"> -</w:t>
      </w:r>
      <w:r w:rsidRPr="003A09B1">
        <w:rPr>
          <w:b/>
        </w:rPr>
        <w:t xml:space="preserve"> year period.</w:t>
      </w:r>
    </w:p>
    <w:p w14:paraId="2CCFD33A" w14:textId="77777777" w:rsidR="00250F56" w:rsidRPr="003A09B1" w:rsidRDefault="00250F56" w:rsidP="00250F56">
      <w:pPr>
        <w:pStyle w:val="ListParagraph"/>
        <w:numPr>
          <w:ilvl w:val="0"/>
          <w:numId w:val="6"/>
        </w:numPr>
        <w:spacing w:after="0" w:line="240" w:lineRule="auto"/>
        <w:rPr>
          <w:rFonts w:ascii="Times New Roman" w:eastAsia="Times New Roman" w:hAnsi="Times New Roman" w:cs="Times New Roman"/>
          <w:sz w:val="24"/>
          <w:szCs w:val="24"/>
        </w:rPr>
      </w:pPr>
      <w:r w:rsidRPr="003A09B1">
        <w:rPr>
          <w:rFonts w:ascii="Times New Roman" w:eastAsia="Times New Roman" w:hAnsi="Times New Roman" w:cs="Times New Roman"/>
          <w:sz w:val="24"/>
          <w:szCs w:val="24"/>
        </w:rPr>
        <w:t xml:space="preserve">The </w:t>
      </w:r>
      <w:r w:rsidR="005B52EF" w:rsidRPr="003A09B1">
        <w:rPr>
          <w:rFonts w:ascii="Times New Roman" w:eastAsia="Times New Roman" w:hAnsi="Times New Roman" w:cs="Times New Roman"/>
          <w:sz w:val="24"/>
          <w:szCs w:val="24"/>
        </w:rPr>
        <w:t>MLT</w:t>
      </w:r>
      <w:r w:rsidRPr="003A09B1">
        <w:rPr>
          <w:rFonts w:ascii="Times New Roman" w:eastAsia="Times New Roman" w:hAnsi="Times New Roman" w:cs="Times New Roman"/>
          <w:sz w:val="24"/>
          <w:szCs w:val="24"/>
        </w:rPr>
        <w:t xml:space="preserve"> Program continues to place all graduates seeking employment.</w:t>
      </w:r>
    </w:p>
    <w:p w14:paraId="55C297B1" w14:textId="41775D71" w:rsidR="002A20D9" w:rsidRPr="003A09B1" w:rsidRDefault="00CB56DD" w:rsidP="00CB56DD">
      <w:pPr>
        <w:pStyle w:val="ListParagraph"/>
        <w:numPr>
          <w:ilvl w:val="0"/>
          <w:numId w:val="6"/>
        </w:numPr>
        <w:spacing w:after="0" w:line="240" w:lineRule="auto"/>
        <w:rPr>
          <w:rFonts w:ascii="Times New Roman" w:eastAsia="Times New Roman" w:hAnsi="Times New Roman" w:cs="Times New Roman"/>
          <w:sz w:val="24"/>
          <w:szCs w:val="24"/>
        </w:rPr>
      </w:pPr>
      <w:r w:rsidRPr="003A09B1">
        <w:rPr>
          <w:rFonts w:ascii="Times New Roman" w:eastAsia="Times New Roman" w:hAnsi="Times New Roman" w:cs="Times New Roman"/>
          <w:sz w:val="24"/>
          <w:szCs w:val="24"/>
        </w:rPr>
        <w:t xml:space="preserve">Statistics updated from graduate surveys and follow-up by program coordinator. To date all graduates from </w:t>
      </w:r>
      <w:r w:rsidR="003A09B1" w:rsidRPr="003A09B1">
        <w:rPr>
          <w:rFonts w:ascii="Times New Roman" w:eastAsia="Times New Roman" w:hAnsi="Times New Roman" w:cs="Times New Roman"/>
          <w:sz w:val="24"/>
          <w:szCs w:val="24"/>
        </w:rPr>
        <w:t xml:space="preserve">Fall 2020 </w:t>
      </w:r>
      <w:r w:rsidRPr="003A09B1">
        <w:rPr>
          <w:rFonts w:ascii="Times New Roman" w:eastAsia="Times New Roman" w:hAnsi="Times New Roman" w:cs="Times New Roman"/>
          <w:sz w:val="24"/>
          <w:szCs w:val="24"/>
        </w:rPr>
        <w:t>have become employed in the field within 6 months of graduation</w:t>
      </w:r>
      <w:r w:rsidR="003A09B1" w:rsidRPr="003A09B1">
        <w:rPr>
          <w:rFonts w:ascii="Times New Roman" w:eastAsia="Times New Roman" w:hAnsi="Times New Roman" w:cs="Times New Roman"/>
          <w:sz w:val="24"/>
          <w:szCs w:val="24"/>
        </w:rPr>
        <w:t xml:space="preserve"> at 100%</w:t>
      </w:r>
      <w:r w:rsidRPr="003A09B1">
        <w:rPr>
          <w:rFonts w:ascii="Times New Roman" w:eastAsia="Times New Roman" w:hAnsi="Times New Roman" w:cs="Times New Roman"/>
          <w:sz w:val="24"/>
          <w:szCs w:val="24"/>
        </w:rPr>
        <w:t>.</w:t>
      </w:r>
    </w:p>
    <w:p w14:paraId="7A0290A1" w14:textId="77777777" w:rsidR="00597560" w:rsidRPr="00894211" w:rsidRDefault="00597560" w:rsidP="00597560">
      <w:pPr>
        <w:pStyle w:val="ListParagraph"/>
        <w:spacing w:after="0" w:line="240" w:lineRule="auto"/>
        <w:rPr>
          <w:rFonts w:ascii="Times New Roman" w:eastAsia="Times New Roman" w:hAnsi="Times New Roman" w:cs="Times New Roman"/>
          <w:sz w:val="24"/>
          <w:szCs w:val="24"/>
          <w:highlight w:val="yellow"/>
        </w:rPr>
      </w:pPr>
    </w:p>
    <w:p w14:paraId="2542473E" w14:textId="3CCE340E" w:rsidR="00CB56DD" w:rsidRPr="003A09B1" w:rsidRDefault="00CB56DD" w:rsidP="00CB56DD">
      <w:pPr>
        <w:rPr>
          <w:b/>
        </w:rPr>
      </w:pPr>
      <w:r w:rsidRPr="003A09B1">
        <w:rPr>
          <w:b/>
        </w:rPr>
        <w:t>V. Employer Data</w:t>
      </w:r>
    </w:p>
    <w:tbl>
      <w:tblPr>
        <w:tblStyle w:val="TableGrid"/>
        <w:tblW w:w="9648" w:type="dxa"/>
        <w:tblLook w:val="04A0" w:firstRow="1" w:lastRow="0" w:firstColumn="1" w:lastColumn="0" w:noHBand="0" w:noVBand="1"/>
      </w:tblPr>
      <w:tblGrid>
        <w:gridCol w:w="1476"/>
        <w:gridCol w:w="1692"/>
        <w:gridCol w:w="1530"/>
        <w:gridCol w:w="4950"/>
      </w:tblGrid>
      <w:tr w:rsidR="00CB56DD" w:rsidRPr="003A09B1" w14:paraId="5622B970" w14:textId="77777777" w:rsidTr="00B97D18">
        <w:tc>
          <w:tcPr>
            <w:tcW w:w="1476" w:type="dxa"/>
          </w:tcPr>
          <w:p w14:paraId="7AB3E0E6" w14:textId="77777777" w:rsidR="00CB56DD" w:rsidRPr="003A09B1" w:rsidRDefault="00CB56DD" w:rsidP="00B97D18">
            <w:pPr>
              <w:rPr>
                <w:b/>
              </w:rPr>
            </w:pPr>
            <w:r w:rsidRPr="003A09B1">
              <w:rPr>
                <w:b/>
              </w:rPr>
              <w:t>Employer Surveys</w:t>
            </w:r>
          </w:p>
          <w:p w14:paraId="61C7CD6A" w14:textId="77777777" w:rsidR="00CB56DD" w:rsidRPr="003A09B1" w:rsidRDefault="00CB56DD" w:rsidP="00B97D18">
            <w:pPr>
              <w:pStyle w:val="ListParagraph"/>
              <w:ind w:left="0"/>
              <w:rPr>
                <w:b/>
              </w:rPr>
            </w:pPr>
          </w:p>
        </w:tc>
        <w:tc>
          <w:tcPr>
            <w:tcW w:w="1692" w:type="dxa"/>
          </w:tcPr>
          <w:p w14:paraId="49205112" w14:textId="77777777" w:rsidR="00CB56DD" w:rsidRPr="003A09B1" w:rsidRDefault="00CB56DD" w:rsidP="00B97D18">
            <w:pPr>
              <w:pStyle w:val="ListParagraph"/>
              <w:ind w:left="0"/>
              <w:rPr>
                <w:b/>
              </w:rPr>
            </w:pPr>
            <w:r w:rsidRPr="003A09B1">
              <w:rPr>
                <w:b/>
              </w:rPr>
              <w:t>% responding as “Good” or better on Personal Skills</w:t>
            </w:r>
          </w:p>
        </w:tc>
        <w:tc>
          <w:tcPr>
            <w:tcW w:w="1530" w:type="dxa"/>
          </w:tcPr>
          <w:p w14:paraId="77D2F926" w14:textId="77777777" w:rsidR="00CB56DD" w:rsidRPr="003A09B1" w:rsidRDefault="00CB56DD" w:rsidP="00B97D18">
            <w:pPr>
              <w:pStyle w:val="ListParagraph"/>
              <w:ind w:left="0"/>
              <w:rPr>
                <w:b/>
              </w:rPr>
            </w:pPr>
            <w:r w:rsidRPr="003A09B1">
              <w:rPr>
                <w:b/>
              </w:rPr>
              <w:t>% responding as “Good” or better on Technical Skills</w:t>
            </w:r>
          </w:p>
        </w:tc>
        <w:tc>
          <w:tcPr>
            <w:tcW w:w="4950" w:type="dxa"/>
          </w:tcPr>
          <w:p w14:paraId="73AD304C" w14:textId="77777777" w:rsidR="00CB56DD" w:rsidRPr="003A09B1" w:rsidRDefault="00CB56DD" w:rsidP="00B97D18">
            <w:pPr>
              <w:pStyle w:val="ListParagraph"/>
              <w:ind w:left="0"/>
              <w:rPr>
                <w:b/>
              </w:rPr>
            </w:pPr>
            <w:r w:rsidRPr="003A09B1">
              <w:rPr>
                <w:b/>
              </w:rPr>
              <w:t>% Responses to the question Do you feel that the educational program at JSCC prepared the employee well for his/her first position at “agree” or better</w:t>
            </w:r>
          </w:p>
        </w:tc>
      </w:tr>
      <w:tr w:rsidR="00881717" w:rsidRPr="003A09B1" w14:paraId="0667E826" w14:textId="77777777" w:rsidTr="00B97D18">
        <w:tc>
          <w:tcPr>
            <w:tcW w:w="1476" w:type="dxa"/>
          </w:tcPr>
          <w:p w14:paraId="0C01C8F0" w14:textId="2C77CFA6" w:rsidR="00881717" w:rsidRPr="003A09B1" w:rsidRDefault="00881717" w:rsidP="00D1338B">
            <w:pPr>
              <w:pStyle w:val="ListParagraph"/>
              <w:ind w:left="0"/>
            </w:pPr>
            <w:r w:rsidRPr="003A09B1">
              <w:t>201</w:t>
            </w:r>
            <w:r w:rsidR="003A09B1" w:rsidRPr="003A09B1">
              <w:t>9</w:t>
            </w:r>
            <w:r w:rsidRPr="003A09B1">
              <w:t>-20</w:t>
            </w:r>
            <w:r w:rsidR="003A09B1" w:rsidRPr="003A09B1">
              <w:t>20</w:t>
            </w:r>
          </w:p>
        </w:tc>
        <w:tc>
          <w:tcPr>
            <w:tcW w:w="1692" w:type="dxa"/>
          </w:tcPr>
          <w:p w14:paraId="3B865E34" w14:textId="3E3526FC" w:rsidR="00881717" w:rsidRPr="003A09B1" w:rsidRDefault="00881717" w:rsidP="00D1338B">
            <w:pPr>
              <w:pStyle w:val="ListParagraph"/>
              <w:ind w:left="0"/>
            </w:pPr>
            <w:r w:rsidRPr="003A09B1">
              <w:t>100%</w:t>
            </w:r>
          </w:p>
        </w:tc>
        <w:tc>
          <w:tcPr>
            <w:tcW w:w="1530" w:type="dxa"/>
          </w:tcPr>
          <w:p w14:paraId="2CD8C184" w14:textId="72918004" w:rsidR="00881717" w:rsidRPr="003A09B1" w:rsidRDefault="00881717" w:rsidP="00D1338B">
            <w:pPr>
              <w:pStyle w:val="ListParagraph"/>
              <w:ind w:left="0"/>
            </w:pPr>
            <w:r w:rsidRPr="003A09B1">
              <w:t>100%</w:t>
            </w:r>
          </w:p>
        </w:tc>
        <w:tc>
          <w:tcPr>
            <w:tcW w:w="4950" w:type="dxa"/>
          </w:tcPr>
          <w:p w14:paraId="1284A984" w14:textId="19E992DB" w:rsidR="00881717" w:rsidRPr="003A09B1" w:rsidRDefault="00881717" w:rsidP="00D1338B">
            <w:pPr>
              <w:pStyle w:val="ListParagraph"/>
              <w:ind w:left="0"/>
            </w:pPr>
            <w:r w:rsidRPr="003A09B1">
              <w:t>100%</w:t>
            </w:r>
          </w:p>
        </w:tc>
      </w:tr>
      <w:tr w:rsidR="00D1338B" w:rsidRPr="003A09B1" w14:paraId="0C99833C" w14:textId="77777777" w:rsidTr="00B97D18">
        <w:tc>
          <w:tcPr>
            <w:tcW w:w="1476" w:type="dxa"/>
          </w:tcPr>
          <w:p w14:paraId="056C187C" w14:textId="60AA09B2" w:rsidR="00D1338B" w:rsidRPr="003A09B1" w:rsidRDefault="00D1338B" w:rsidP="00D1338B">
            <w:pPr>
              <w:pStyle w:val="ListParagraph"/>
              <w:ind w:left="0"/>
            </w:pPr>
            <w:r w:rsidRPr="003A09B1">
              <w:t>201</w:t>
            </w:r>
            <w:r w:rsidR="003A09B1" w:rsidRPr="003A09B1">
              <w:t>8</w:t>
            </w:r>
            <w:r w:rsidRPr="003A09B1">
              <w:t>-201</w:t>
            </w:r>
            <w:r w:rsidR="003A09B1" w:rsidRPr="003A09B1">
              <w:t>9</w:t>
            </w:r>
          </w:p>
        </w:tc>
        <w:tc>
          <w:tcPr>
            <w:tcW w:w="1692" w:type="dxa"/>
          </w:tcPr>
          <w:p w14:paraId="1EF3F0A4" w14:textId="77777777" w:rsidR="00D1338B" w:rsidRPr="003A09B1" w:rsidRDefault="00D1338B" w:rsidP="00D1338B">
            <w:pPr>
              <w:pStyle w:val="ListParagraph"/>
              <w:ind w:left="0"/>
            </w:pPr>
            <w:r w:rsidRPr="003A09B1">
              <w:t>100%</w:t>
            </w:r>
          </w:p>
        </w:tc>
        <w:tc>
          <w:tcPr>
            <w:tcW w:w="1530" w:type="dxa"/>
          </w:tcPr>
          <w:p w14:paraId="0F6381C6" w14:textId="77777777" w:rsidR="00D1338B" w:rsidRPr="003A09B1" w:rsidRDefault="00D1338B" w:rsidP="00D1338B">
            <w:pPr>
              <w:pStyle w:val="ListParagraph"/>
              <w:ind w:left="0"/>
            </w:pPr>
            <w:r w:rsidRPr="003A09B1">
              <w:t>100%</w:t>
            </w:r>
          </w:p>
        </w:tc>
        <w:tc>
          <w:tcPr>
            <w:tcW w:w="4950" w:type="dxa"/>
          </w:tcPr>
          <w:p w14:paraId="77763343" w14:textId="77777777" w:rsidR="00D1338B" w:rsidRPr="003A09B1" w:rsidRDefault="00D1338B" w:rsidP="00D1338B">
            <w:pPr>
              <w:pStyle w:val="ListParagraph"/>
              <w:ind w:left="0"/>
            </w:pPr>
            <w:r w:rsidRPr="003A09B1">
              <w:t>100%</w:t>
            </w:r>
          </w:p>
        </w:tc>
      </w:tr>
      <w:tr w:rsidR="00597560" w:rsidRPr="003A09B1" w14:paraId="65A4F325" w14:textId="77777777" w:rsidTr="00B97D18">
        <w:tc>
          <w:tcPr>
            <w:tcW w:w="1476" w:type="dxa"/>
          </w:tcPr>
          <w:p w14:paraId="6BAE9DAF" w14:textId="1D2B1D87" w:rsidR="00597560" w:rsidRPr="003A09B1" w:rsidRDefault="00597560" w:rsidP="00D1338B">
            <w:pPr>
              <w:pStyle w:val="ListParagraph"/>
              <w:ind w:left="0"/>
            </w:pPr>
            <w:r w:rsidRPr="003A09B1">
              <w:t>2017-2018</w:t>
            </w:r>
          </w:p>
        </w:tc>
        <w:tc>
          <w:tcPr>
            <w:tcW w:w="1692" w:type="dxa"/>
          </w:tcPr>
          <w:p w14:paraId="24E4246F" w14:textId="37F8AE72" w:rsidR="00597560" w:rsidRPr="003A09B1" w:rsidRDefault="00BA602B" w:rsidP="00D1338B">
            <w:pPr>
              <w:pStyle w:val="ListParagraph"/>
              <w:ind w:left="0"/>
            </w:pPr>
            <w:r w:rsidRPr="003A09B1">
              <w:t>90%</w:t>
            </w:r>
          </w:p>
        </w:tc>
        <w:tc>
          <w:tcPr>
            <w:tcW w:w="1530" w:type="dxa"/>
          </w:tcPr>
          <w:p w14:paraId="5F56727D" w14:textId="5C1B7D20" w:rsidR="00597560" w:rsidRPr="003A09B1" w:rsidRDefault="00BA602B" w:rsidP="00D1338B">
            <w:pPr>
              <w:pStyle w:val="ListParagraph"/>
              <w:ind w:left="0"/>
            </w:pPr>
            <w:r w:rsidRPr="003A09B1">
              <w:t>90%</w:t>
            </w:r>
          </w:p>
        </w:tc>
        <w:tc>
          <w:tcPr>
            <w:tcW w:w="4950" w:type="dxa"/>
          </w:tcPr>
          <w:p w14:paraId="12732025" w14:textId="533FEE5B" w:rsidR="00597560" w:rsidRPr="003A09B1" w:rsidRDefault="00BA602B" w:rsidP="00D1338B">
            <w:pPr>
              <w:pStyle w:val="ListParagraph"/>
              <w:ind w:left="0"/>
            </w:pPr>
            <w:r w:rsidRPr="003A09B1">
              <w:t>90%</w:t>
            </w:r>
          </w:p>
        </w:tc>
      </w:tr>
    </w:tbl>
    <w:p w14:paraId="784C4BDE" w14:textId="77777777" w:rsidR="00CB56DD" w:rsidRPr="003A09B1" w:rsidRDefault="00CB56DD" w:rsidP="00CB56DD">
      <w:pPr>
        <w:pStyle w:val="ListParagraph"/>
      </w:pPr>
    </w:p>
    <w:p w14:paraId="220770E5" w14:textId="0B65DB3D" w:rsidR="00CB56DD" w:rsidRPr="003A09B1" w:rsidRDefault="00CB56DD" w:rsidP="00CB56DD">
      <w:pPr>
        <w:pStyle w:val="ListParagraph"/>
        <w:numPr>
          <w:ilvl w:val="0"/>
          <w:numId w:val="6"/>
        </w:numPr>
      </w:pPr>
      <w:r w:rsidRPr="003A09B1">
        <w:t xml:space="preserve">Employer surveys- analysis of employer surveys continue to demonstrate positive comments. Laboratory managers within the Birmingham area continue to hire students that completed the </w:t>
      </w:r>
      <w:r w:rsidR="00881717" w:rsidRPr="003A09B1">
        <w:t>Clin</w:t>
      </w:r>
      <w:r w:rsidR="005B52EF" w:rsidRPr="003A09B1">
        <w:t>ical</w:t>
      </w:r>
      <w:r w:rsidRPr="003A09B1">
        <w:t xml:space="preserve"> phase at their facility. Surveys are sent each fall to compile information concerning fall and spring cohorts.</w:t>
      </w:r>
    </w:p>
    <w:p w14:paraId="1282D4BD" w14:textId="6FEBBBB6" w:rsidR="00CB56DD" w:rsidRPr="003A09B1" w:rsidRDefault="00CB56DD" w:rsidP="00CB56DD">
      <w:pPr>
        <w:rPr>
          <w:b/>
        </w:rPr>
      </w:pPr>
      <w:r w:rsidRPr="003A09B1">
        <w:rPr>
          <w:b/>
        </w:rPr>
        <w:t>VI. Graduate Data</w:t>
      </w:r>
    </w:p>
    <w:tbl>
      <w:tblPr>
        <w:tblStyle w:val="TableGrid"/>
        <w:tblW w:w="0" w:type="auto"/>
        <w:tblLook w:val="04A0" w:firstRow="1" w:lastRow="0" w:firstColumn="1" w:lastColumn="0" w:noHBand="0" w:noVBand="1"/>
      </w:tblPr>
      <w:tblGrid>
        <w:gridCol w:w="1806"/>
        <w:gridCol w:w="3252"/>
        <w:gridCol w:w="3510"/>
      </w:tblGrid>
      <w:tr w:rsidR="00CB56DD" w:rsidRPr="003A09B1" w14:paraId="5B82AD3B" w14:textId="77777777" w:rsidTr="00B97D18">
        <w:tc>
          <w:tcPr>
            <w:tcW w:w="1806" w:type="dxa"/>
          </w:tcPr>
          <w:p w14:paraId="40281E71" w14:textId="77777777" w:rsidR="00CB56DD" w:rsidRPr="003A09B1" w:rsidRDefault="00CB56DD" w:rsidP="00B97D18">
            <w:pPr>
              <w:pStyle w:val="ListParagraph"/>
              <w:ind w:left="0"/>
              <w:rPr>
                <w:b/>
              </w:rPr>
            </w:pPr>
            <w:r w:rsidRPr="003A09B1">
              <w:rPr>
                <w:b/>
              </w:rPr>
              <w:t>Graduate Surveys</w:t>
            </w:r>
          </w:p>
        </w:tc>
        <w:tc>
          <w:tcPr>
            <w:tcW w:w="3252" w:type="dxa"/>
          </w:tcPr>
          <w:p w14:paraId="5E24AF56" w14:textId="77777777" w:rsidR="00CB56DD" w:rsidRPr="003A09B1" w:rsidRDefault="00CB56DD" w:rsidP="00B97D18">
            <w:pPr>
              <w:pStyle w:val="ListParagraph"/>
              <w:ind w:left="0"/>
              <w:rPr>
                <w:b/>
              </w:rPr>
            </w:pPr>
            <w:r w:rsidRPr="003A09B1">
              <w:rPr>
                <w:b/>
              </w:rPr>
              <w:t>% responding to the question How satisfied are you with your education at JSCC at “satisfied” or better</w:t>
            </w:r>
          </w:p>
        </w:tc>
        <w:tc>
          <w:tcPr>
            <w:tcW w:w="3510" w:type="dxa"/>
          </w:tcPr>
          <w:p w14:paraId="406771B9" w14:textId="77777777" w:rsidR="00CB56DD" w:rsidRPr="003A09B1" w:rsidRDefault="00CB56DD" w:rsidP="00B97D18">
            <w:pPr>
              <w:pStyle w:val="ListParagraph"/>
              <w:ind w:left="0"/>
              <w:rPr>
                <w:b/>
              </w:rPr>
            </w:pPr>
            <w:r w:rsidRPr="003A09B1">
              <w:rPr>
                <w:b/>
              </w:rPr>
              <w:t>% responding to the question How satisfied are you with your career choice at “satisfied” or better</w:t>
            </w:r>
          </w:p>
        </w:tc>
      </w:tr>
      <w:tr w:rsidR="00321057" w:rsidRPr="003A09B1" w14:paraId="4EC7F9AF" w14:textId="77777777" w:rsidTr="00B97D18">
        <w:tc>
          <w:tcPr>
            <w:tcW w:w="1806" w:type="dxa"/>
          </w:tcPr>
          <w:p w14:paraId="40C932B4" w14:textId="4C9C2D74" w:rsidR="00321057" w:rsidRPr="003A09B1" w:rsidRDefault="003A09B1" w:rsidP="00B97D18">
            <w:pPr>
              <w:pStyle w:val="ListParagraph"/>
              <w:ind w:left="0"/>
            </w:pPr>
            <w:r w:rsidRPr="003A09B1">
              <w:t>2019-2020</w:t>
            </w:r>
          </w:p>
        </w:tc>
        <w:tc>
          <w:tcPr>
            <w:tcW w:w="3252" w:type="dxa"/>
          </w:tcPr>
          <w:p w14:paraId="01AAFA29" w14:textId="3B61F547" w:rsidR="00321057" w:rsidRPr="003A09B1" w:rsidRDefault="003A09B1" w:rsidP="00B97D18">
            <w:pPr>
              <w:pStyle w:val="ListParagraph"/>
              <w:ind w:left="0"/>
            </w:pPr>
            <w:r w:rsidRPr="003A09B1">
              <w:t>100%</w:t>
            </w:r>
          </w:p>
        </w:tc>
        <w:tc>
          <w:tcPr>
            <w:tcW w:w="3510" w:type="dxa"/>
          </w:tcPr>
          <w:p w14:paraId="174BB769" w14:textId="31F1CF90" w:rsidR="00321057" w:rsidRPr="003A09B1" w:rsidRDefault="003A09B1" w:rsidP="00B97D18">
            <w:pPr>
              <w:pStyle w:val="ListParagraph"/>
              <w:ind w:left="0"/>
            </w:pPr>
            <w:r w:rsidRPr="003A09B1">
              <w:t>100%</w:t>
            </w:r>
          </w:p>
        </w:tc>
      </w:tr>
      <w:tr w:rsidR="00CB56DD" w:rsidRPr="003A09B1" w14:paraId="1A71DD71" w14:textId="77777777" w:rsidTr="00B97D18">
        <w:tc>
          <w:tcPr>
            <w:tcW w:w="1806" w:type="dxa"/>
          </w:tcPr>
          <w:p w14:paraId="3F3CA745" w14:textId="0EAE3DA4" w:rsidR="00CB56DD" w:rsidRPr="003A09B1" w:rsidRDefault="003A09B1" w:rsidP="00B97D18">
            <w:pPr>
              <w:pStyle w:val="ListParagraph"/>
              <w:ind w:left="0"/>
            </w:pPr>
            <w:r w:rsidRPr="003A09B1">
              <w:t>2018-2019</w:t>
            </w:r>
          </w:p>
        </w:tc>
        <w:tc>
          <w:tcPr>
            <w:tcW w:w="3252" w:type="dxa"/>
          </w:tcPr>
          <w:p w14:paraId="14E9DF0E" w14:textId="3EFDCF66" w:rsidR="00CB56DD" w:rsidRPr="003A09B1" w:rsidRDefault="003A09B1" w:rsidP="00B97D18">
            <w:pPr>
              <w:pStyle w:val="ListParagraph"/>
              <w:ind w:left="0"/>
            </w:pPr>
            <w:r w:rsidRPr="003A09B1">
              <w:t>84%</w:t>
            </w:r>
          </w:p>
        </w:tc>
        <w:tc>
          <w:tcPr>
            <w:tcW w:w="3510" w:type="dxa"/>
          </w:tcPr>
          <w:p w14:paraId="6B1EDF85" w14:textId="6A0D62FA" w:rsidR="00CB56DD" w:rsidRPr="003A09B1" w:rsidRDefault="003A09B1" w:rsidP="00B97D18">
            <w:pPr>
              <w:pStyle w:val="ListParagraph"/>
              <w:ind w:left="0"/>
            </w:pPr>
            <w:r w:rsidRPr="003A09B1">
              <w:t>84%</w:t>
            </w:r>
          </w:p>
        </w:tc>
      </w:tr>
      <w:tr w:rsidR="003A09B1" w:rsidRPr="003A09B1" w14:paraId="0D91D898" w14:textId="77777777" w:rsidTr="00B97D18">
        <w:tc>
          <w:tcPr>
            <w:tcW w:w="1806" w:type="dxa"/>
          </w:tcPr>
          <w:p w14:paraId="1D48EFBA" w14:textId="09DC8764" w:rsidR="003A09B1" w:rsidRPr="003A09B1" w:rsidRDefault="003A09B1" w:rsidP="003A09B1">
            <w:pPr>
              <w:pStyle w:val="ListParagraph"/>
              <w:ind w:left="0"/>
            </w:pPr>
            <w:r w:rsidRPr="003A09B1">
              <w:lastRenderedPageBreak/>
              <w:t>2017-2018</w:t>
            </w:r>
          </w:p>
        </w:tc>
        <w:tc>
          <w:tcPr>
            <w:tcW w:w="3252" w:type="dxa"/>
          </w:tcPr>
          <w:p w14:paraId="1221647A" w14:textId="6C42B46F" w:rsidR="003A09B1" w:rsidRPr="003A09B1" w:rsidRDefault="003A09B1" w:rsidP="003A09B1">
            <w:pPr>
              <w:pStyle w:val="ListParagraph"/>
              <w:ind w:left="0"/>
            </w:pPr>
            <w:r w:rsidRPr="003A09B1">
              <w:t>84%</w:t>
            </w:r>
          </w:p>
        </w:tc>
        <w:tc>
          <w:tcPr>
            <w:tcW w:w="3510" w:type="dxa"/>
          </w:tcPr>
          <w:p w14:paraId="26184EC0" w14:textId="5610ED80" w:rsidR="003A09B1" w:rsidRPr="003A09B1" w:rsidRDefault="003A09B1" w:rsidP="003A09B1">
            <w:pPr>
              <w:pStyle w:val="ListParagraph"/>
              <w:ind w:left="0"/>
            </w:pPr>
            <w:r w:rsidRPr="003A09B1">
              <w:t>80%</w:t>
            </w:r>
          </w:p>
        </w:tc>
      </w:tr>
    </w:tbl>
    <w:p w14:paraId="6EE21101" w14:textId="77777777" w:rsidR="00124DB8" w:rsidRPr="003A09B1" w:rsidRDefault="00124DB8" w:rsidP="00124DB8">
      <w:pPr>
        <w:pStyle w:val="ListParagraph"/>
      </w:pPr>
    </w:p>
    <w:p w14:paraId="71B33837" w14:textId="5E290EB8" w:rsidR="00422F10" w:rsidRPr="003A09B1" w:rsidRDefault="00422F10" w:rsidP="00420086">
      <w:pPr>
        <w:pStyle w:val="ListParagraph"/>
        <w:numPr>
          <w:ilvl w:val="0"/>
          <w:numId w:val="6"/>
        </w:numPr>
      </w:pPr>
      <w:r w:rsidRPr="003A09B1">
        <w:t xml:space="preserve">Student graduate surveys continue to be positive. Suggestions from previous surveys have resulted in changes in the semester sequence for the </w:t>
      </w:r>
      <w:r w:rsidR="005B52EF" w:rsidRPr="003A09B1">
        <w:t>MLT</w:t>
      </w:r>
      <w:r w:rsidRPr="003A09B1">
        <w:t xml:space="preserve"> coursework.  The Blackboard course management system is being utilized in all </w:t>
      </w:r>
      <w:r w:rsidR="005B52EF" w:rsidRPr="003A09B1">
        <w:t>MLT</w:t>
      </w:r>
      <w:r w:rsidRPr="003A09B1">
        <w:t xml:space="preserve"> courses </w:t>
      </w:r>
      <w:r w:rsidR="003A09B1" w:rsidRPr="003A09B1">
        <w:t>COVID required all MLT courses to be presented in a hybrid format.</w:t>
      </w:r>
      <w:r w:rsidR="00321057" w:rsidRPr="003A09B1">
        <w:t xml:space="preserve"> </w:t>
      </w:r>
    </w:p>
    <w:p w14:paraId="7B0E3528" w14:textId="77777777" w:rsidR="00B37067" w:rsidRPr="00894211" w:rsidRDefault="00B37067" w:rsidP="00420086">
      <w:pPr>
        <w:rPr>
          <w:b/>
          <w:highlight w:val="yellow"/>
        </w:rPr>
      </w:pPr>
    </w:p>
    <w:p w14:paraId="038082B5" w14:textId="22ADA7E1" w:rsidR="00481035" w:rsidRPr="00D63E4F" w:rsidRDefault="00481035" w:rsidP="00420086">
      <w:pPr>
        <w:rPr>
          <w:b/>
        </w:rPr>
      </w:pPr>
      <w:r w:rsidRPr="00D63E4F">
        <w:rPr>
          <w:b/>
        </w:rPr>
        <w:t>Internal Conditions:</w:t>
      </w:r>
    </w:p>
    <w:p w14:paraId="7422FC71" w14:textId="77777777" w:rsidR="00481035" w:rsidRPr="00D63E4F" w:rsidRDefault="00481035" w:rsidP="00481035">
      <w:pPr>
        <w:pStyle w:val="ListParagraph"/>
        <w:numPr>
          <w:ilvl w:val="0"/>
          <w:numId w:val="3"/>
        </w:numPr>
        <w:rPr>
          <w:b/>
        </w:rPr>
      </w:pPr>
      <w:r w:rsidRPr="00D63E4F">
        <w:rPr>
          <w:b/>
        </w:rPr>
        <w:t>Technology</w:t>
      </w:r>
      <w:r w:rsidR="00AF43FA" w:rsidRPr="00D63E4F">
        <w:rPr>
          <w:b/>
        </w:rPr>
        <w:t xml:space="preserve"> </w:t>
      </w:r>
    </w:p>
    <w:p w14:paraId="7D3B7F12" w14:textId="651AFC9D" w:rsidR="00ED281B" w:rsidRPr="00D63E4F" w:rsidRDefault="00ED281B" w:rsidP="00ED281B">
      <w:pPr>
        <w:pStyle w:val="ListParagraph"/>
        <w:ind w:left="1080"/>
      </w:pPr>
      <w:r w:rsidRPr="00D63E4F">
        <w:t xml:space="preserve">The </w:t>
      </w:r>
      <w:r w:rsidR="00BA602B" w:rsidRPr="00D63E4F">
        <w:t>instructional t</w:t>
      </w:r>
      <w:r w:rsidR="00422F10" w:rsidRPr="00D63E4F">
        <w:t xml:space="preserve">echnology in </w:t>
      </w:r>
      <w:r w:rsidR="001F2D1B" w:rsidRPr="00D63E4F">
        <w:t xml:space="preserve">all </w:t>
      </w:r>
      <w:r w:rsidR="005B52EF" w:rsidRPr="00D63E4F">
        <w:t>MLT</w:t>
      </w:r>
      <w:r w:rsidR="00422F10" w:rsidRPr="00D63E4F">
        <w:t xml:space="preserve"> </w:t>
      </w:r>
      <w:r w:rsidR="001F2D1B" w:rsidRPr="00D63E4F">
        <w:t xml:space="preserve">student labs and instructional space is adequate. </w:t>
      </w:r>
      <w:r w:rsidR="00D63E4F" w:rsidRPr="00D63E4F">
        <w:t>Instructional Technology has recognized the need to upgrade the two MLT full-time faculties office computers and this is reflected in our budget request and on IT computer needs. They have also placed the MLT student computers on an upgrade list due to age</w:t>
      </w:r>
      <w:r w:rsidR="00D63E4F">
        <w:t xml:space="preserve"> and operating system.</w:t>
      </w:r>
    </w:p>
    <w:p w14:paraId="6E86D7D6" w14:textId="77777777" w:rsidR="00481035" w:rsidRPr="001F2D1B" w:rsidRDefault="00481035" w:rsidP="00481035">
      <w:pPr>
        <w:pStyle w:val="ListParagraph"/>
        <w:numPr>
          <w:ilvl w:val="0"/>
          <w:numId w:val="3"/>
        </w:numPr>
        <w:rPr>
          <w:b/>
        </w:rPr>
      </w:pPr>
      <w:r w:rsidRPr="001F2D1B">
        <w:rPr>
          <w:b/>
        </w:rPr>
        <w:t>Budget</w:t>
      </w:r>
    </w:p>
    <w:p w14:paraId="46132826" w14:textId="68269018" w:rsidR="00B97D18" w:rsidRPr="00B97D18" w:rsidRDefault="001F2D1B" w:rsidP="00B97D18">
      <w:pPr>
        <w:pStyle w:val="ListParagraph"/>
        <w:ind w:left="1080"/>
      </w:pPr>
      <w:r w:rsidRPr="001F2D1B">
        <w:t xml:space="preserve">We have requested an increase in the MLT supply budget to $35,000.00 this request is primarily due to a sharp increase of approximately 30% in lab supplies that I attribute to COVID. We have also seen an increase in MLT admission and a decrease in attrition which has demanded additional supplies for labs. </w:t>
      </w:r>
      <w:r w:rsidR="00B97D18" w:rsidRPr="001F2D1B">
        <w:t>Other resources that are requested include our accreditation fees to NAACLS</w:t>
      </w:r>
      <w:r w:rsidRPr="001F2D1B">
        <w:t xml:space="preserve"> and this cycle will also include NAACLS site visit expense. Our typical subscriptions will remain the same and includes </w:t>
      </w:r>
      <w:r w:rsidR="00B97D18" w:rsidRPr="001F2D1B">
        <w:t>Medtraining yearly subscription</w:t>
      </w:r>
      <w:r w:rsidRPr="001F2D1B">
        <w:t>,</w:t>
      </w:r>
      <w:r w:rsidR="00B97D18" w:rsidRPr="001F2D1B">
        <w:t xml:space="preserve"> ASCP BOC statistics </w:t>
      </w:r>
      <w:r w:rsidR="004766EF" w:rsidRPr="001F2D1B">
        <w:t>report</w:t>
      </w:r>
      <w:r w:rsidR="003F3E23" w:rsidRPr="001F2D1B">
        <w:t xml:space="preserve"> and our Orchard Software licensing fee any small inc</w:t>
      </w:r>
      <w:r w:rsidR="00BA602B" w:rsidRPr="001F2D1B">
        <w:t>r</w:t>
      </w:r>
      <w:r w:rsidR="003F3E23" w:rsidRPr="001F2D1B">
        <w:t xml:space="preserve">eases in fees </w:t>
      </w:r>
      <w:r w:rsidR="00BA602B" w:rsidRPr="001F2D1B">
        <w:t xml:space="preserve">and </w:t>
      </w:r>
      <w:r w:rsidR="003F3E23" w:rsidRPr="001F2D1B">
        <w:t>will be</w:t>
      </w:r>
      <w:r w:rsidR="00BA602B" w:rsidRPr="001F2D1B">
        <w:t xml:space="preserve"> </w:t>
      </w:r>
      <w:r w:rsidR="004766EF" w:rsidRPr="001F2D1B">
        <w:t xml:space="preserve">reflected in the </w:t>
      </w:r>
      <w:r w:rsidR="00B97D18" w:rsidRPr="001F2D1B">
        <w:t>budget.</w:t>
      </w:r>
      <w:r w:rsidRPr="001F2D1B">
        <w:t xml:space="preserve"> Additionally, we are requesting to purchase ASCP practice exams for our graduating class to be used in the MLT seminar class in preparation for taking the ASCP BOC exam. This tool has been a great predictor and study help for successful passing of the certification exam.</w:t>
      </w:r>
      <w:r>
        <w:t xml:space="preserve"> </w:t>
      </w:r>
    </w:p>
    <w:p w14:paraId="67F819F0" w14:textId="77777777" w:rsidR="00481035" w:rsidRDefault="00481035" w:rsidP="00481035">
      <w:pPr>
        <w:pStyle w:val="ListParagraph"/>
        <w:numPr>
          <w:ilvl w:val="0"/>
          <w:numId w:val="3"/>
        </w:numPr>
        <w:rPr>
          <w:b/>
        </w:rPr>
      </w:pPr>
      <w:r>
        <w:rPr>
          <w:b/>
        </w:rPr>
        <w:t>Staffing</w:t>
      </w:r>
    </w:p>
    <w:p w14:paraId="0E2CA739" w14:textId="42C17250" w:rsidR="00C32ED3" w:rsidRPr="00B97D18" w:rsidRDefault="00B97D18" w:rsidP="00C32ED3">
      <w:pPr>
        <w:pStyle w:val="ListParagraph"/>
        <w:ind w:left="1080"/>
      </w:pPr>
      <w:r w:rsidRPr="00B97D18">
        <w:t xml:space="preserve">Staffing </w:t>
      </w:r>
      <w:r w:rsidR="00BA602B">
        <w:t xml:space="preserve">is currently </w:t>
      </w:r>
      <w:r w:rsidR="000E4844">
        <w:t>enough</w:t>
      </w:r>
      <w:r w:rsidR="00BA602B">
        <w:t xml:space="preserve"> to meet the program needs.</w:t>
      </w:r>
      <w:r w:rsidRPr="00B97D18">
        <w:t xml:space="preserve"> The pro</w:t>
      </w:r>
      <w:r w:rsidR="004766EF">
        <w:t xml:space="preserve">gram employs two full-time and </w:t>
      </w:r>
      <w:r w:rsidR="00894211">
        <w:t>t</w:t>
      </w:r>
      <w:r w:rsidR="00AD6D91">
        <w:t>wo</w:t>
      </w:r>
      <w:r w:rsidR="00894211">
        <w:t xml:space="preserve"> (</w:t>
      </w:r>
      <w:r w:rsidR="00AD6D91">
        <w:t>2</w:t>
      </w:r>
      <w:r w:rsidR="00894211">
        <w:t>)</w:t>
      </w:r>
      <w:r w:rsidRPr="00B97D18">
        <w:t xml:space="preserve"> </w:t>
      </w:r>
      <w:r w:rsidR="00894211">
        <w:t>L-19</w:t>
      </w:r>
      <w:r w:rsidRPr="00B97D18">
        <w:t xml:space="preserve"> instructors as needed. Currently, part-time/full-time ratios are very good. </w:t>
      </w:r>
      <w:r w:rsidR="00C32ED3" w:rsidRPr="00B97D18">
        <w:t xml:space="preserve">The typical 5 credit hour course, due to the lab component, requires 7 contact hours from the instructor. In addition, our lab space will only accommodate a class capacity no larger than 12 students and therefore requires additional lab sections for </w:t>
      </w:r>
      <w:r w:rsidR="00C32ED3">
        <w:t xml:space="preserve">MLT </w:t>
      </w:r>
      <w:r w:rsidR="00C32ED3" w:rsidRPr="00B97D18">
        <w:t>111, 121, 1</w:t>
      </w:r>
      <w:r w:rsidR="00C32ED3">
        <w:t>31, 141, 142, 151, 181 and 191. The L-19</w:t>
      </w:r>
      <w:r w:rsidR="00C32ED3" w:rsidRPr="00B97D18">
        <w:t xml:space="preserve"> instructors h</w:t>
      </w:r>
      <w:r w:rsidR="00C32ED3">
        <w:t>elp with the extra lab sections, online instruction and other duties as needed. Full-time faculty can meet teaching load hour each fall, spring and summer semesters</w:t>
      </w:r>
      <w:r w:rsidR="00C32ED3" w:rsidRPr="00B97D18">
        <w:t>.</w:t>
      </w:r>
    </w:p>
    <w:p w14:paraId="291DB097" w14:textId="124B48EC" w:rsidR="00C32ED3" w:rsidRDefault="00C32ED3" w:rsidP="00C32ED3">
      <w:pPr>
        <w:pStyle w:val="ListParagraph"/>
        <w:ind w:left="1080"/>
        <w:rPr>
          <w:bCs/>
        </w:rPr>
      </w:pPr>
      <w:r>
        <w:rPr>
          <w:bCs/>
        </w:rPr>
        <w:t>T</w:t>
      </w:r>
      <w:r w:rsidRPr="00423ECC">
        <w:rPr>
          <w:bCs/>
        </w:rPr>
        <w:t>wo full-time office managers one housed at the Jefferson Campus and the other at the Shelby campus are available to assist the program as needed. These office managers support this program as well as other programs housed in the Center for Professional, Career and Technical Education. Support staff is adequate for our program needs.</w:t>
      </w:r>
    </w:p>
    <w:p w14:paraId="6D3941C0" w14:textId="77777777" w:rsidR="000E4844" w:rsidRPr="00423ECC" w:rsidRDefault="000E4844" w:rsidP="00C32ED3">
      <w:pPr>
        <w:pStyle w:val="ListParagraph"/>
        <w:ind w:left="1080"/>
        <w:rPr>
          <w:bCs/>
        </w:rPr>
      </w:pPr>
    </w:p>
    <w:p w14:paraId="2F67D6DB" w14:textId="77777777" w:rsidR="00481035" w:rsidRPr="00C32ED3" w:rsidRDefault="00481035" w:rsidP="00481035">
      <w:pPr>
        <w:pStyle w:val="ListParagraph"/>
        <w:numPr>
          <w:ilvl w:val="0"/>
          <w:numId w:val="3"/>
        </w:numPr>
        <w:rPr>
          <w:b/>
        </w:rPr>
      </w:pPr>
      <w:r w:rsidRPr="00C32ED3">
        <w:rPr>
          <w:b/>
        </w:rPr>
        <w:lastRenderedPageBreak/>
        <w:t>Resources</w:t>
      </w:r>
    </w:p>
    <w:p w14:paraId="3DAA6667" w14:textId="0CBC6C24" w:rsidR="00B97D18" w:rsidRPr="00C32ED3" w:rsidRDefault="00B97D18" w:rsidP="00B97D18">
      <w:pPr>
        <w:pStyle w:val="ListParagraph"/>
        <w:ind w:left="1080"/>
      </w:pPr>
      <w:r w:rsidRPr="00C32ED3">
        <w:t xml:space="preserve">The program’s resources are currently </w:t>
      </w:r>
      <w:r w:rsidR="00BA602B" w:rsidRPr="00C32ED3">
        <w:t>enough</w:t>
      </w:r>
      <w:r w:rsidRPr="00C32ED3">
        <w:t xml:space="preserve"> to meet program needs. The program currently has </w:t>
      </w:r>
      <w:r w:rsidR="008D4340" w:rsidRPr="00C32ED3">
        <w:t>2</w:t>
      </w:r>
      <w:r w:rsidR="00C32ED3" w:rsidRPr="00C32ED3">
        <w:t xml:space="preserve">2 affiliation </w:t>
      </w:r>
      <w:r w:rsidRPr="00C32ED3">
        <w:t xml:space="preserve">agreements with area </w:t>
      </w:r>
      <w:r w:rsidR="00C32ED3" w:rsidRPr="00C32ED3">
        <w:t xml:space="preserve">hospitals and </w:t>
      </w:r>
      <w:r w:rsidRPr="00C32ED3">
        <w:t xml:space="preserve">clinics to accommodate </w:t>
      </w:r>
      <w:r w:rsidR="00C32ED3" w:rsidRPr="00C32ED3">
        <w:t xml:space="preserve">the </w:t>
      </w:r>
      <w:r w:rsidRPr="00C32ED3">
        <w:t xml:space="preserve">students’ </w:t>
      </w:r>
      <w:r w:rsidR="00C32ED3" w:rsidRPr="00C32ED3">
        <w:t>c</w:t>
      </w:r>
      <w:r w:rsidR="00E3078B" w:rsidRPr="00C32ED3">
        <w:t>lini</w:t>
      </w:r>
      <w:r w:rsidR="005B52EF" w:rsidRPr="00C32ED3">
        <w:t>cal</w:t>
      </w:r>
      <w:r w:rsidRPr="00C32ED3">
        <w:t xml:space="preserve"> needs.</w:t>
      </w:r>
      <w:r w:rsidR="00E3078B" w:rsidRPr="00C32ED3">
        <w:t xml:space="preserve"> </w:t>
      </w:r>
      <w:r w:rsidR="00C32ED3" w:rsidRPr="00C32ED3">
        <w:t xml:space="preserve">Should the need arise we have additional distant clinical partners that have been used as needed but will need to update our affiliation agreements for these sites used. We are currently discussing affiliation agreements with Gadsden Regional and Anniston Regional for use each fall semester. </w:t>
      </w:r>
      <w:r w:rsidR="00C32ED3">
        <w:t xml:space="preserve">This is Gadsden’s territory but they only complete clinical rotations each spring semester. </w:t>
      </w:r>
      <w:r w:rsidR="00E3078B" w:rsidRPr="00C32ED3">
        <w:t>Our clinical sites help provide expendable supplies for instruction with donations of reagents and equipment.</w:t>
      </w:r>
    </w:p>
    <w:p w14:paraId="67EC6DF9" w14:textId="77777777" w:rsidR="00B37067" w:rsidRPr="00894211" w:rsidRDefault="00B37067" w:rsidP="00B97D18">
      <w:pPr>
        <w:pStyle w:val="ListParagraph"/>
        <w:ind w:left="1080"/>
        <w:rPr>
          <w:highlight w:val="yellow"/>
        </w:rPr>
      </w:pPr>
    </w:p>
    <w:p w14:paraId="4D2744E6" w14:textId="77777777" w:rsidR="00B97D18" w:rsidRPr="00132425" w:rsidRDefault="00B97D18" w:rsidP="00B97D18">
      <w:pPr>
        <w:pStyle w:val="ListParagraph"/>
        <w:rPr>
          <w:b/>
        </w:rPr>
      </w:pPr>
      <w:r w:rsidRPr="00132425">
        <w:rPr>
          <w:b/>
        </w:rPr>
        <w:t xml:space="preserve">5. </w:t>
      </w:r>
      <w:r w:rsidR="00481035" w:rsidRPr="00132425">
        <w:rPr>
          <w:b/>
        </w:rPr>
        <w:t>Enrollment</w:t>
      </w:r>
    </w:p>
    <w:p w14:paraId="768B1055" w14:textId="469142BF" w:rsidR="00B97D18" w:rsidRPr="00132425" w:rsidRDefault="00B97D18" w:rsidP="00ED281B">
      <w:pPr>
        <w:pStyle w:val="ListParagraph"/>
        <w:ind w:left="1080"/>
        <w:rPr>
          <w:b/>
        </w:rPr>
      </w:pPr>
      <w:r w:rsidRPr="00132425">
        <w:t xml:space="preserve">Enrollment remains stable with the ability to admit up to 20 students twice a year. </w:t>
      </w:r>
      <w:r w:rsidR="00E3078B" w:rsidRPr="00132425">
        <w:t xml:space="preserve">Taking attrition into consideration </w:t>
      </w:r>
      <w:r w:rsidRPr="00132425">
        <w:t xml:space="preserve">first and second semester we </w:t>
      </w:r>
      <w:r w:rsidR="00E3078B" w:rsidRPr="00132425">
        <w:t>typically send 12-14 students to</w:t>
      </w:r>
      <w:r w:rsidRPr="00132425">
        <w:t xml:space="preserve"> </w:t>
      </w:r>
      <w:r w:rsidR="00E3078B" w:rsidRPr="00132425">
        <w:t>Clinic</w:t>
      </w:r>
      <w:r w:rsidR="005B52EF" w:rsidRPr="00132425">
        <w:t>al</w:t>
      </w:r>
      <w:r w:rsidRPr="00132425">
        <w:t xml:space="preserve"> rotations</w:t>
      </w:r>
      <w:r w:rsidR="00E3078B" w:rsidRPr="00132425">
        <w:t xml:space="preserve"> and most semesters do not have difficulty accommodating this number</w:t>
      </w:r>
      <w:r w:rsidRPr="00132425">
        <w:t xml:space="preserve">. </w:t>
      </w:r>
      <w:r w:rsidR="00132425" w:rsidRPr="00132425">
        <w:t xml:space="preserve">We did see a significant decrease during the Summer/Fall 2020 and Summer/Fall 2021 admission cohorts due to uncertainty with COVID and lack of Phlebotomy Clinical rotations available due to short staffing in that area. We are trying to add more phlebotomy clinical sites to address admission problems. </w:t>
      </w:r>
    </w:p>
    <w:p w14:paraId="4FFE727B" w14:textId="77777777" w:rsidR="00ED281B" w:rsidRPr="00894211" w:rsidRDefault="00ED281B" w:rsidP="00ED281B">
      <w:pPr>
        <w:pStyle w:val="ListParagraph"/>
        <w:rPr>
          <w:b/>
        </w:rPr>
      </w:pPr>
      <w:r w:rsidRPr="00894211">
        <w:rPr>
          <w:b/>
        </w:rPr>
        <w:t xml:space="preserve">6. </w:t>
      </w:r>
      <w:r w:rsidR="00481035" w:rsidRPr="00894211">
        <w:rPr>
          <w:b/>
        </w:rPr>
        <w:t>Facilities</w:t>
      </w:r>
    </w:p>
    <w:p w14:paraId="4CAEF4B0" w14:textId="0A05E44D" w:rsidR="00894211" w:rsidRPr="00894211" w:rsidRDefault="00435E0F" w:rsidP="00894211">
      <w:pPr>
        <w:pStyle w:val="ListParagraph"/>
      </w:pPr>
      <w:r w:rsidRPr="00894211">
        <w:t xml:space="preserve">      </w:t>
      </w:r>
      <w:r w:rsidR="00ED281B" w:rsidRPr="00894211">
        <w:t xml:space="preserve">The </w:t>
      </w:r>
      <w:r w:rsidR="005B52EF" w:rsidRPr="00894211">
        <w:t>MLT</w:t>
      </w:r>
      <w:r w:rsidR="00ED281B" w:rsidRPr="00894211">
        <w:t xml:space="preserve"> program </w:t>
      </w:r>
      <w:r w:rsidRPr="00894211">
        <w:t xml:space="preserve">has </w:t>
      </w:r>
      <w:r w:rsidR="00894211" w:rsidRPr="00894211">
        <w:t xml:space="preserve">four designated </w:t>
      </w:r>
      <w:r w:rsidRPr="00894211">
        <w:t xml:space="preserve">classrooms for instruction and student labs. </w:t>
      </w:r>
    </w:p>
    <w:p w14:paraId="57635579" w14:textId="16459C28" w:rsidR="00894211" w:rsidRPr="00894211" w:rsidRDefault="00894211" w:rsidP="00894211">
      <w:pPr>
        <w:pStyle w:val="ListParagraph"/>
      </w:pPr>
      <w:r w:rsidRPr="00894211">
        <w:t xml:space="preserve">      </w:t>
      </w:r>
      <w:r w:rsidR="00ED281B" w:rsidRPr="00894211">
        <w:t>Both</w:t>
      </w:r>
      <w:r w:rsidR="00C93882" w:rsidRPr="00894211">
        <w:t>,</w:t>
      </w:r>
      <w:r w:rsidR="00ED281B" w:rsidRPr="00894211">
        <w:t xml:space="preserve"> full-time </w:t>
      </w:r>
      <w:r w:rsidRPr="00894211">
        <w:t xml:space="preserve">MLT </w:t>
      </w:r>
      <w:r w:rsidR="00ED281B" w:rsidRPr="00894211">
        <w:t xml:space="preserve">faculty have office space near the </w:t>
      </w:r>
      <w:r w:rsidR="005B52EF" w:rsidRPr="00894211">
        <w:t>MLT</w:t>
      </w:r>
      <w:r w:rsidR="00ED281B" w:rsidRPr="00894211">
        <w:t xml:space="preserve"> labs. The part-time fac</w:t>
      </w:r>
      <w:r w:rsidR="001F2CC5" w:rsidRPr="00894211">
        <w:t>ulty</w:t>
      </w:r>
      <w:r w:rsidR="00ED281B" w:rsidRPr="00894211">
        <w:t xml:space="preserve"> share</w:t>
      </w:r>
      <w:r w:rsidRPr="00894211">
        <w:t>d</w:t>
      </w:r>
      <w:r w:rsidR="00ED281B" w:rsidRPr="00894211">
        <w:t xml:space="preserve"> </w:t>
      </w:r>
    </w:p>
    <w:p w14:paraId="7C928443" w14:textId="77777777" w:rsidR="00894211" w:rsidRPr="00894211" w:rsidRDefault="00894211" w:rsidP="00894211">
      <w:pPr>
        <w:pStyle w:val="ListParagraph"/>
      </w:pPr>
      <w:r w:rsidRPr="00894211">
        <w:t xml:space="preserve">      </w:t>
      </w:r>
      <w:r w:rsidR="00ED281B" w:rsidRPr="00894211">
        <w:t xml:space="preserve">office </w:t>
      </w:r>
      <w:r w:rsidRPr="00894211">
        <w:t xml:space="preserve">has been renovated to house the new HST Education Coordinator. The budget will   </w:t>
      </w:r>
    </w:p>
    <w:p w14:paraId="354899B7" w14:textId="77777777" w:rsidR="00894211" w:rsidRPr="00894211" w:rsidRDefault="00894211" w:rsidP="00894211">
      <w:pPr>
        <w:pStyle w:val="ListParagraph"/>
      </w:pPr>
      <w:r w:rsidRPr="00894211">
        <w:t xml:space="preserve">      reflect renovation of an additional office space to house both part-time MLT instructors and  </w:t>
      </w:r>
    </w:p>
    <w:p w14:paraId="406FF64A" w14:textId="77777777" w:rsidR="00894211" w:rsidRPr="00894211" w:rsidRDefault="00894211" w:rsidP="00894211">
      <w:pPr>
        <w:pStyle w:val="ListParagraph"/>
      </w:pPr>
      <w:r w:rsidRPr="00894211">
        <w:t xml:space="preserve">      future HST part-time instructors. We also will request additional secure storage space for </w:t>
      </w:r>
    </w:p>
    <w:p w14:paraId="31ECF1F3" w14:textId="74337F2C" w:rsidR="001F2CC5" w:rsidRPr="00894211" w:rsidRDefault="00894211" w:rsidP="001F2CC5">
      <w:pPr>
        <w:pStyle w:val="ListParagraph"/>
      </w:pPr>
      <w:r w:rsidRPr="00894211">
        <w:t xml:space="preserve">      records and equipment.</w:t>
      </w:r>
      <w:r w:rsidR="001F2CC5" w:rsidRPr="00894211">
        <w:t xml:space="preserve"> The</w:t>
      </w:r>
      <w:r w:rsidR="00ED281B" w:rsidRPr="00894211">
        <w:t xml:space="preserve"> </w:t>
      </w:r>
      <w:r w:rsidR="005D2495" w:rsidRPr="00894211">
        <w:t>students are</w:t>
      </w:r>
      <w:r w:rsidR="00ED281B" w:rsidRPr="00894211">
        <w:t xml:space="preserve"> blessed with their own </w:t>
      </w:r>
      <w:r w:rsidR="005D2495" w:rsidRPr="00894211">
        <w:t>break room</w:t>
      </w:r>
      <w:r w:rsidR="00ED281B" w:rsidRPr="00894211">
        <w:t xml:space="preserve"> with </w:t>
      </w:r>
    </w:p>
    <w:p w14:paraId="6A0AB29E" w14:textId="77777777" w:rsidR="00ED281B" w:rsidRPr="001F2CC5" w:rsidRDefault="001F2CC5" w:rsidP="001F2CC5">
      <w:pPr>
        <w:pStyle w:val="ListParagraph"/>
      </w:pPr>
      <w:r w:rsidRPr="00894211">
        <w:t xml:space="preserve">      </w:t>
      </w:r>
      <w:r w:rsidR="00ED281B" w:rsidRPr="00894211">
        <w:t>kitchen facilities and lounge.</w:t>
      </w:r>
    </w:p>
    <w:p w14:paraId="37735235" w14:textId="77777777" w:rsidR="00481035" w:rsidRPr="00BA602B" w:rsidRDefault="00ED281B" w:rsidP="00ED281B">
      <w:pPr>
        <w:pStyle w:val="ListParagraph"/>
        <w:rPr>
          <w:b/>
        </w:rPr>
      </w:pPr>
      <w:r w:rsidRPr="00BA602B">
        <w:rPr>
          <w:b/>
        </w:rPr>
        <w:t xml:space="preserve">7. </w:t>
      </w:r>
      <w:r w:rsidR="00481035" w:rsidRPr="00BA602B">
        <w:rPr>
          <w:b/>
        </w:rPr>
        <w:t>Equipment</w:t>
      </w:r>
      <w:r w:rsidR="00636CFD" w:rsidRPr="00BA602B">
        <w:rPr>
          <w:b/>
        </w:rPr>
        <w:t xml:space="preserve"> </w:t>
      </w:r>
    </w:p>
    <w:p w14:paraId="61293EA9" w14:textId="0D6234A1" w:rsidR="0011457C" w:rsidRPr="009916BB" w:rsidRDefault="006A23BF" w:rsidP="00ED281B">
      <w:pPr>
        <w:pStyle w:val="ListParagraph"/>
        <w:ind w:left="1080"/>
      </w:pPr>
      <w:r w:rsidRPr="002D0D0E">
        <w:t xml:space="preserve">We are requesting to purchase 4 new semi-automated chemistry analyzers to replace the RX Monza that is no longer being supported by Randox. </w:t>
      </w:r>
      <w:r w:rsidR="007822A5" w:rsidRPr="002D0D0E">
        <w:t xml:space="preserve">We are also looking at new technology that can be offered to students with the purchase of a fully automated chemistry analyzer with ion selective electrode capabilities. This would allow students to obtain the skills needed to understand the technology, perform quality control and maintenance procedures before attending a clinical rotation. </w:t>
      </w:r>
      <w:r w:rsidR="0011457C" w:rsidRPr="002D0D0E">
        <w:t xml:space="preserve">Future funding will continue to enhance technology and equipment </w:t>
      </w:r>
      <w:r w:rsidR="007822A5" w:rsidRPr="002D0D0E">
        <w:t xml:space="preserve">for a molecular platform. </w:t>
      </w:r>
      <w:r w:rsidR="002D0D0E" w:rsidRPr="002D0D0E">
        <w:t>All</w:t>
      </w:r>
      <w:r w:rsidR="007822A5" w:rsidRPr="002D0D0E">
        <w:t xml:space="preserve"> of these purchases </w:t>
      </w:r>
      <w:r w:rsidR="002D0D0E" w:rsidRPr="002D0D0E">
        <w:t>are</w:t>
      </w:r>
      <w:r w:rsidR="007822A5" w:rsidRPr="002D0D0E">
        <w:t xml:space="preserve"> supported</w:t>
      </w:r>
      <w:r w:rsidR="007822A5">
        <w:t xml:space="preserve"> in feedback from clinical instructors, employer surveys and student surveys.</w:t>
      </w:r>
    </w:p>
    <w:p w14:paraId="0655B303" w14:textId="77777777" w:rsidR="00ED281B" w:rsidRPr="00ED281B" w:rsidRDefault="00ED281B" w:rsidP="00ED281B">
      <w:pPr>
        <w:pStyle w:val="ListParagraph"/>
      </w:pPr>
    </w:p>
    <w:p w14:paraId="20C136DC" w14:textId="77777777"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4543A3DD" w14:textId="610C061A" w:rsidR="008E3555" w:rsidRPr="009916BB" w:rsidRDefault="00ED281B" w:rsidP="00ED281B">
      <w:bookmarkStart w:id="1" w:name="_Hlk80427830"/>
      <w:r w:rsidRPr="009916BB">
        <w:t xml:space="preserve">The </w:t>
      </w:r>
      <w:r w:rsidR="005B52EF">
        <w:t>MLT</w:t>
      </w:r>
      <w:r w:rsidRPr="009916BB">
        <w:t xml:space="preserve"> Program is awarded accreditation through the National Accrediting Agency for </w:t>
      </w:r>
      <w:r w:rsidR="005B52EF">
        <w:t>Medical</w:t>
      </w:r>
      <w:r w:rsidRPr="009916BB">
        <w:t xml:space="preserve"> Laboratory Science (NAACLS).  This agency has required standards that must be followed</w:t>
      </w:r>
      <w:r w:rsidR="00991C42">
        <w:t>.</w:t>
      </w:r>
    </w:p>
    <w:p w14:paraId="5FE82AD5" w14:textId="77777777" w:rsidR="00ED281B" w:rsidRPr="009916BB" w:rsidRDefault="00673D06" w:rsidP="00ED281B">
      <w:pPr>
        <w:autoSpaceDE w:val="0"/>
        <w:autoSpaceDN w:val="0"/>
        <w:adjustRightInd w:val="0"/>
        <w:spacing w:after="0" w:line="240" w:lineRule="auto"/>
        <w:rPr>
          <w:rFonts w:cs="Arial"/>
          <w:color w:val="000000"/>
        </w:rPr>
      </w:pPr>
      <w:r>
        <w:rPr>
          <w:rFonts w:cs="Arial"/>
          <w:b/>
          <w:bCs/>
          <w:color w:val="000000"/>
        </w:rPr>
        <w:lastRenderedPageBreak/>
        <w:t xml:space="preserve"> NAACLS </w:t>
      </w:r>
      <w:r w:rsidR="009916BB" w:rsidRPr="009916BB">
        <w:rPr>
          <w:rFonts w:cs="Arial"/>
          <w:b/>
          <w:bCs/>
          <w:color w:val="000000"/>
        </w:rPr>
        <w:t>Standard VII</w:t>
      </w:r>
      <w:r w:rsidR="00ED281B" w:rsidRPr="009916BB">
        <w:rPr>
          <w:rFonts w:cs="Arial"/>
          <w:b/>
          <w:bCs/>
          <w:color w:val="000000"/>
        </w:rPr>
        <w:t>.</w:t>
      </w:r>
      <w:r w:rsidR="009916BB" w:rsidRPr="009916BB">
        <w:rPr>
          <w:rFonts w:cs="Arial"/>
          <w:b/>
          <w:bCs/>
          <w:color w:val="000000"/>
        </w:rPr>
        <w:t xml:space="preserve"> </w:t>
      </w:r>
      <w:r w:rsidR="00ED281B" w:rsidRPr="009916BB">
        <w:rPr>
          <w:rFonts w:cs="Arial"/>
          <w:b/>
          <w:bCs/>
          <w:color w:val="000000"/>
        </w:rPr>
        <w:t xml:space="preserve">Faculty </w:t>
      </w:r>
    </w:p>
    <w:p w14:paraId="68C008A4" w14:textId="6C608708" w:rsidR="00ED281B" w:rsidRDefault="00ED281B" w:rsidP="00ED281B">
      <w:pPr>
        <w:rPr>
          <w:rFonts w:cs="Arial"/>
          <w:color w:val="000000"/>
        </w:rPr>
      </w:pPr>
      <w:r w:rsidRPr="009916BB">
        <w:rPr>
          <w:rFonts w:cs="Arial"/>
          <w:color w:val="000000"/>
        </w:rPr>
        <w:t>The program must have qualified faculty (e.g.,</w:t>
      </w:r>
      <w:r w:rsidR="00FD1466">
        <w:rPr>
          <w:rFonts w:cs="Arial"/>
          <w:color w:val="000000"/>
        </w:rPr>
        <w:t xml:space="preserve"> </w:t>
      </w:r>
      <w:r w:rsidR="005B52EF">
        <w:rPr>
          <w:rFonts w:cs="Arial"/>
          <w:color w:val="000000"/>
        </w:rPr>
        <w:t>Medical</w:t>
      </w:r>
      <w:r w:rsidRPr="009916BB">
        <w:rPr>
          <w:rFonts w:cs="Arial"/>
          <w:color w:val="000000"/>
        </w:rPr>
        <w:t xml:space="preserve"> laboratory scientists/medical technologists, </w:t>
      </w:r>
      <w:r w:rsidR="005B52EF">
        <w:rPr>
          <w:rFonts w:cs="Arial"/>
          <w:color w:val="000000"/>
        </w:rPr>
        <w:t>Medical</w:t>
      </w:r>
      <w:r w:rsidRPr="009916BB">
        <w:rPr>
          <w:rFonts w:cs="Arial"/>
          <w:color w:val="000000"/>
        </w:rPr>
        <w:t xml:space="preserve"> laboratory technicians/medical laboratory technicians, administrators, managers and physicians).</w:t>
      </w:r>
    </w:p>
    <w:p w14:paraId="021D7E3B" w14:textId="4C54C02E" w:rsidR="00991C42" w:rsidRPr="00991C42" w:rsidRDefault="00991C42" w:rsidP="00991C42">
      <w:pPr>
        <w:spacing w:after="0"/>
        <w:rPr>
          <w:rFonts w:eastAsia="Times New Roman" w:cs="Arial"/>
          <w:b/>
          <w:bCs/>
        </w:rPr>
      </w:pPr>
      <w:r w:rsidRPr="00D87587">
        <w:rPr>
          <w:b/>
        </w:rPr>
        <w:t>NAACLS Standard</w:t>
      </w:r>
      <w:r w:rsidRPr="00D87587">
        <w:rPr>
          <w:rFonts w:eastAsia="Times New Roman" w:cs="Arial"/>
        </w:rPr>
        <w:t xml:space="preserve"> </w:t>
      </w:r>
      <w:r w:rsidRPr="00991C42">
        <w:rPr>
          <w:rFonts w:eastAsia="Times New Roman" w:cs="Arial"/>
          <w:b/>
          <w:bCs/>
        </w:rPr>
        <w:t>VII.A.2.C.</w:t>
      </w:r>
      <w:r w:rsidRPr="00D87587">
        <w:rPr>
          <w:rFonts w:eastAsia="Times New Roman" w:cs="Arial"/>
        </w:rPr>
        <w:t xml:space="preserve"> </w:t>
      </w:r>
      <w:r w:rsidRPr="00991C42">
        <w:rPr>
          <w:rFonts w:eastAsia="Times New Roman" w:cs="Arial"/>
          <w:b/>
          <w:bCs/>
        </w:rPr>
        <w:t>Program Coordinator</w:t>
      </w:r>
    </w:p>
    <w:p w14:paraId="62AAD033" w14:textId="2BA4859C" w:rsidR="00991C42" w:rsidRPr="00991C42" w:rsidRDefault="00991C42" w:rsidP="00991C42">
      <w:pPr>
        <w:rPr>
          <w:rFonts w:eastAsia="Times New Roman" w:cs="Arial"/>
        </w:rPr>
      </w:pPr>
      <w:r w:rsidRPr="00991C42">
        <w:rPr>
          <w:rFonts w:eastAsia="Times New Roman" w:cs="Arial"/>
          <w:bCs/>
        </w:rPr>
        <w:t>The program coordinator</w:t>
      </w:r>
      <w:r>
        <w:rPr>
          <w:rFonts w:eastAsia="Times New Roman" w:cs="Arial"/>
        </w:rPr>
        <w:t xml:space="preserve"> must show </w:t>
      </w:r>
      <w:r w:rsidRPr="00D87587">
        <w:rPr>
          <w:rFonts w:eastAsia="Times New Roman" w:cs="Arial"/>
        </w:rPr>
        <w:t>documentation of 36 CEU hours over each 3</w:t>
      </w:r>
      <w:r>
        <w:rPr>
          <w:rFonts w:eastAsia="Times New Roman" w:cs="Arial"/>
        </w:rPr>
        <w:t>-</w:t>
      </w:r>
      <w:r w:rsidRPr="00D87587">
        <w:rPr>
          <w:rFonts w:eastAsia="Times New Roman" w:cs="Arial"/>
        </w:rPr>
        <w:t xml:space="preserve">year period. </w:t>
      </w:r>
    </w:p>
    <w:p w14:paraId="4312D99C" w14:textId="1FD55882" w:rsidR="00991C42" w:rsidRPr="00991C42" w:rsidRDefault="00991C42" w:rsidP="00991C42">
      <w:pPr>
        <w:pStyle w:val="Default"/>
        <w:rPr>
          <w:rFonts w:asciiTheme="minorHAnsi" w:hAnsiTheme="minorHAnsi"/>
          <w:b/>
          <w:bCs/>
          <w:sz w:val="22"/>
          <w:szCs w:val="22"/>
        </w:rPr>
      </w:pPr>
      <w:r w:rsidRPr="00991C42">
        <w:rPr>
          <w:rFonts w:asciiTheme="minorHAnsi" w:hAnsiTheme="minorHAnsi"/>
          <w:b/>
          <w:bCs/>
          <w:sz w:val="22"/>
          <w:szCs w:val="22"/>
        </w:rPr>
        <w:t>Standard VII.2.c.</w:t>
      </w:r>
      <w:r>
        <w:rPr>
          <w:rFonts w:asciiTheme="minorHAnsi" w:hAnsiTheme="minorHAnsi"/>
          <w:b/>
          <w:bCs/>
          <w:sz w:val="22"/>
          <w:szCs w:val="22"/>
        </w:rPr>
        <w:t xml:space="preserve"> </w:t>
      </w:r>
      <w:r w:rsidRPr="00D87587">
        <w:rPr>
          <w:rFonts w:asciiTheme="minorHAnsi" w:hAnsiTheme="minorHAnsi"/>
          <w:b/>
          <w:sz w:val="22"/>
          <w:szCs w:val="22"/>
        </w:rPr>
        <w:t>Di</w:t>
      </w:r>
      <w:r>
        <w:rPr>
          <w:rFonts w:asciiTheme="minorHAnsi" w:hAnsiTheme="minorHAnsi"/>
          <w:b/>
          <w:sz w:val="22"/>
          <w:szCs w:val="22"/>
        </w:rPr>
        <w:t xml:space="preserve">dactic Instructor Appointments </w:t>
      </w:r>
    </w:p>
    <w:p w14:paraId="7BCFDF62" w14:textId="4E29308C" w:rsidR="00991C42" w:rsidRPr="00FD1466" w:rsidRDefault="00991C42" w:rsidP="00ED281B">
      <w:r w:rsidRPr="00D87587">
        <w:t>The program must have qualified faculty/instructors</w:t>
      </w:r>
      <w:r>
        <w:t>.</w:t>
      </w:r>
      <w:r w:rsidRPr="00D87587">
        <w:t xml:space="preserve">  The program must ensure and document ongoing professional development of th</w:t>
      </w:r>
      <w:r>
        <w:t>e program faculty/instructors.</w:t>
      </w:r>
    </w:p>
    <w:p w14:paraId="2A185E8F" w14:textId="77777777" w:rsidR="00ED281B" w:rsidRPr="009916BB" w:rsidRDefault="00673D06" w:rsidP="00ED281B">
      <w:pPr>
        <w:autoSpaceDE w:val="0"/>
        <w:autoSpaceDN w:val="0"/>
        <w:adjustRightInd w:val="0"/>
        <w:spacing w:after="0" w:line="240" w:lineRule="auto"/>
        <w:rPr>
          <w:rFonts w:cs="Arial"/>
          <w:color w:val="000000"/>
        </w:rPr>
      </w:pPr>
      <w:r>
        <w:rPr>
          <w:rFonts w:cs="Arial"/>
          <w:b/>
          <w:bCs/>
          <w:color w:val="000000"/>
        </w:rPr>
        <w:t xml:space="preserve">NAACLS </w:t>
      </w:r>
      <w:r w:rsidR="00ED281B" w:rsidRPr="009916BB">
        <w:rPr>
          <w:rFonts w:cs="Arial"/>
          <w:b/>
          <w:bCs/>
          <w:color w:val="000000"/>
        </w:rPr>
        <w:t xml:space="preserve">Standard </w:t>
      </w:r>
      <w:r w:rsidR="009916BB" w:rsidRPr="009916BB">
        <w:rPr>
          <w:rFonts w:cs="Arial"/>
          <w:b/>
          <w:bCs/>
          <w:color w:val="000000"/>
        </w:rPr>
        <w:t>III.</w:t>
      </w:r>
      <w:r w:rsidR="00ED281B" w:rsidRPr="009916BB">
        <w:rPr>
          <w:rFonts w:cs="Arial"/>
          <w:b/>
          <w:bCs/>
          <w:color w:val="000000"/>
        </w:rPr>
        <w:t xml:space="preserve"> Physical Resources </w:t>
      </w:r>
    </w:p>
    <w:p w14:paraId="03F06BC5"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A</w:t>
      </w:r>
      <w:r w:rsidRPr="009916BB">
        <w:rPr>
          <w:rFonts w:cs="Arial"/>
          <w:color w:val="000000"/>
        </w:rPr>
        <w:t xml:space="preserve">. Facilities </w:t>
      </w:r>
    </w:p>
    <w:p w14:paraId="3963138C"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Classrooms, laboratories, administrative offices and other facilities must be adequate, equipped for safety, and must be in compliance with pertinent governmental laws. </w:t>
      </w:r>
    </w:p>
    <w:p w14:paraId="28F1B76E"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B</w:t>
      </w:r>
      <w:r w:rsidRPr="009916BB">
        <w:rPr>
          <w:rFonts w:cs="Arial"/>
          <w:color w:val="000000"/>
        </w:rPr>
        <w:t xml:space="preserve">. Equipment and Supplies </w:t>
      </w:r>
    </w:p>
    <w:p w14:paraId="5C16BB12"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Each student must have reasonable access to and experience with modern equipment and supplies. </w:t>
      </w:r>
    </w:p>
    <w:p w14:paraId="6F137FA5"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C</w:t>
      </w:r>
      <w:r w:rsidRPr="009916BB">
        <w:rPr>
          <w:rFonts w:cs="Arial"/>
          <w:color w:val="000000"/>
        </w:rPr>
        <w:t xml:space="preserve">. Information Resources </w:t>
      </w:r>
    </w:p>
    <w:p w14:paraId="5A14E28A"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Each student must have reasonable access to information resources containing current editions of books, periodicals and other reference materials in contemporary formats related to all content areas of the curriculum. </w:t>
      </w:r>
    </w:p>
    <w:p w14:paraId="6E439CE0"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b/>
          <w:color w:val="000000"/>
        </w:rPr>
        <w:t>D</w:t>
      </w:r>
      <w:r w:rsidRPr="009916BB">
        <w:rPr>
          <w:rFonts w:cs="Arial"/>
          <w:color w:val="000000"/>
        </w:rPr>
        <w:t>. Instructional Resources</w:t>
      </w:r>
    </w:p>
    <w:p w14:paraId="32E627ED"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Adequate instructional resources must be available to facilitate each student’s attainment of entry level competencies.</w:t>
      </w:r>
    </w:p>
    <w:p w14:paraId="42966DF6"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E. Computer Technology</w:t>
      </w:r>
    </w:p>
    <w:p w14:paraId="20055F6B"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Each student must have access to and experience with contemporary computer technology.</w:t>
      </w:r>
    </w:p>
    <w:p w14:paraId="092A58AD" w14:textId="77777777" w:rsidR="00ED281B" w:rsidRPr="009916BB" w:rsidRDefault="00ED281B" w:rsidP="00ED281B">
      <w:pPr>
        <w:autoSpaceDE w:val="0"/>
        <w:autoSpaceDN w:val="0"/>
        <w:adjustRightInd w:val="0"/>
        <w:spacing w:after="0" w:line="240" w:lineRule="auto"/>
        <w:rPr>
          <w:rFonts w:cs="Arial"/>
          <w:color w:val="000000"/>
        </w:rPr>
      </w:pPr>
    </w:p>
    <w:p w14:paraId="38989F4B" w14:textId="77777777" w:rsidR="00ED281B" w:rsidRPr="009916BB" w:rsidRDefault="00ED281B" w:rsidP="00ED281B">
      <w:pPr>
        <w:autoSpaceDE w:val="0"/>
        <w:autoSpaceDN w:val="0"/>
        <w:adjustRightInd w:val="0"/>
        <w:spacing w:after="0" w:line="240" w:lineRule="auto"/>
        <w:rPr>
          <w:rFonts w:cs="Arial"/>
          <w:color w:val="000000"/>
        </w:rPr>
      </w:pPr>
      <w:r w:rsidRPr="009916BB">
        <w:rPr>
          <w:rFonts w:cs="Arial"/>
          <w:color w:val="000000"/>
        </w:rPr>
        <w:t xml:space="preserve">The </w:t>
      </w:r>
      <w:r w:rsidR="005B52EF">
        <w:rPr>
          <w:rFonts w:cs="Arial"/>
          <w:color w:val="000000"/>
        </w:rPr>
        <w:t>MLT</w:t>
      </w:r>
      <w:r w:rsidRPr="009916BB">
        <w:rPr>
          <w:rFonts w:cs="Arial"/>
          <w:color w:val="000000"/>
        </w:rPr>
        <w:t xml:space="preserve"> Advisory Committee also makes recommendations based on i</w:t>
      </w:r>
      <w:r w:rsidR="0011457C">
        <w:rPr>
          <w:rFonts w:cs="Arial"/>
          <w:color w:val="000000"/>
        </w:rPr>
        <w:t>ndustry standards and meets twice</w:t>
      </w:r>
      <w:r w:rsidRPr="009916BB">
        <w:rPr>
          <w:rFonts w:cs="Arial"/>
          <w:color w:val="000000"/>
        </w:rPr>
        <w:t xml:space="preserve"> a year.</w:t>
      </w:r>
    </w:p>
    <w:p w14:paraId="5223CDCC" w14:textId="77777777" w:rsidR="00ED281B" w:rsidRPr="009916BB" w:rsidRDefault="00ED281B" w:rsidP="00ED281B">
      <w:pPr>
        <w:autoSpaceDE w:val="0"/>
        <w:autoSpaceDN w:val="0"/>
        <w:adjustRightInd w:val="0"/>
        <w:spacing w:after="0" w:line="240" w:lineRule="auto"/>
        <w:rPr>
          <w:rFonts w:cs="Arial"/>
          <w:color w:val="000000"/>
        </w:rPr>
      </w:pPr>
    </w:p>
    <w:bookmarkEnd w:id="1"/>
    <w:p w14:paraId="429AE4E0" w14:textId="04B54BD1" w:rsidR="00481035" w:rsidRDefault="00481035" w:rsidP="00481035">
      <w:pPr>
        <w:rPr>
          <w:b/>
        </w:rPr>
      </w:pPr>
      <w:r>
        <w:rPr>
          <w:b/>
        </w:rPr>
        <w:t>20</w:t>
      </w:r>
      <w:r w:rsidR="00BB4C08">
        <w:rPr>
          <w:b/>
        </w:rPr>
        <w:t>1</w:t>
      </w:r>
      <w:r w:rsidR="005B7891">
        <w:rPr>
          <w:b/>
        </w:rPr>
        <w:t>9</w:t>
      </w:r>
      <w:r>
        <w:rPr>
          <w:b/>
        </w:rPr>
        <w:t>-20</w:t>
      </w:r>
      <w:r w:rsidR="005B7891">
        <w:rPr>
          <w:b/>
        </w:rPr>
        <w:t>20</w:t>
      </w:r>
      <w:r>
        <w:rPr>
          <w:b/>
        </w:rPr>
        <w:t xml:space="preserve"> Accomplishments:</w:t>
      </w:r>
      <w:r w:rsidR="00132425">
        <w:rPr>
          <w:b/>
        </w:rPr>
        <w:t xml:space="preserve"> </w:t>
      </w:r>
    </w:p>
    <w:p w14:paraId="3A2A392A" w14:textId="70AE34EC" w:rsidR="00132425" w:rsidRPr="00132425" w:rsidRDefault="00132425" w:rsidP="00481035">
      <w:pPr>
        <w:rPr>
          <w:bCs/>
        </w:rPr>
      </w:pPr>
      <w:r>
        <w:rPr>
          <w:bCs/>
        </w:rPr>
        <w:t>We successfully converted all campus based MLT classes to a hybrid format. We were able to resume student campus-based laboratories by middle June 2020</w:t>
      </w:r>
    </w:p>
    <w:p w14:paraId="6E76BC5F" w14:textId="34F1B644" w:rsidR="008D14D5" w:rsidRDefault="00481035" w:rsidP="00481035">
      <w:pPr>
        <w:rPr>
          <w:b/>
        </w:rPr>
      </w:pPr>
      <w:r>
        <w:rPr>
          <w:b/>
        </w:rPr>
        <w:t>20</w:t>
      </w:r>
      <w:r w:rsidR="005B7891">
        <w:rPr>
          <w:b/>
        </w:rPr>
        <w:t>20</w:t>
      </w:r>
      <w:r>
        <w:rPr>
          <w:b/>
        </w:rPr>
        <w:t>-20</w:t>
      </w:r>
      <w:r w:rsidR="005B7891">
        <w:rPr>
          <w:b/>
        </w:rPr>
        <w:t>21</w:t>
      </w:r>
      <w:r w:rsidR="001D13DD">
        <w:rPr>
          <w:b/>
        </w:rPr>
        <w:t xml:space="preserve"> </w:t>
      </w:r>
      <w:r>
        <w:rPr>
          <w:b/>
        </w:rPr>
        <w:t xml:space="preserve">Accomplishments: </w:t>
      </w:r>
    </w:p>
    <w:p w14:paraId="2AACAA7E" w14:textId="63E3B671" w:rsidR="005B7891" w:rsidRPr="00132425" w:rsidRDefault="00132425" w:rsidP="00BB4C08">
      <w:pPr>
        <w:rPr>
          <w:bCs/>
        </w:rPr>
      </w:pPr>
      <w:r w:rsidRPr="00132425">
        <w:rPr>
          <w:bCs/>
        </w:rPr>
        <w:t>We completed the hybrid conversion for all MLT coursework</w:t>
      </w:r>
      <w:r>
        <w:rPr>
          <w:bCs/>
        </w:rPr>
        <w:t xml:space="preserve">. This cohort will be evaluated for Certification </w:t>
      </w:r>
      <w:r w:rsidR="007E7468">
        <w:rPr>
          <w:bCs/>
        </w:rPr>
        <w:t xml:space="preserve">Pass rate in Fall 2022. We completed the hematology instrument repairs to be ready for fall classes. </w:t>
      </w:r>
    </w:p>
    <w:p w14:paraId="024A2AE7" w14:textId="489C4F8C" w:rsidR="006A23BF" w:rsidRDefault="006A23BF" w:rsidP="00BB4C08">
      <w:pPr>
        <w:rPr>
          <w:b/>
        </w:rPr>
      </w:pPr>
    </w:p>
    <w:p w14:paraId="2FA47DCF" w14:textId="77777777" w:rsidR="000E4844" w:rsidRDefault="000E4844" w:rsidP="00BB4C08">
      <w:pPr>
        <w:rPr>
          <w:b/>
        </w:rPr>
      </w:pPr>
    </w:p>
    <w:p w14:paraId="6689449A" w14:textId="77777777" w:rsidR="006A23BF" w:rsidRDefault="006A23BF" w:rsidP="00BB4C08">
      <w:pPr>
        <w:rPr>
          <w:b/>
        </w:rPr>
      </w:pPr>
    </w:p>
    <w:p w14:paraId="2F859ADB" w14:textId="731B8F76" w:rsidR="00F61765" w:rsidRDefault="00330E51" w:rsidP="00BB4C08">
      <w:pPr>
        <w:rPr>
          <w:b/>
        </w:rPr>
      </w:pPr>
      <w:r>
        <w:rPr>
          <w:b/>
        </w:rPr>
        <w:lastRenderedPageBreak/>
        <w:t>Unit Goals for 20</w:t>
      </w:r>
      <w:r w:rsidR="005B7891">
        <w:rPr>
          <w:b/>
        </w:rPr>
        <w:t>21</w:t>
      </w:r>
      <w:r>
        <w:rPr>
          <w:b/>
        </w:rPr>
        <w:t>-2</w:t>
      </w:r>
      <w:r w:rsidR="006C0ED2">
        <w:rPr>
          <w:b/>
        </w:rPr>
        <w:t>0</w:t>
      </w:r>
      <w:r w:rsidR="008D075D">
        <w:rPr>
          <w:b/>
        </w:rPr>
        <w:t>2</w:t>
      </w:r>
      <w:r w:rsidR="005B7891">
        <w:rPr>
          <w:b/>
        </w:rPr>
        <w:t>2</w:t>
      </w:r>
    </w:p>
    <w:tbl>
      <w:tblPr>
        <w:tblStyle w:val="TableGrid"/>
        <w:tblW w:w="10170" w:type="dxa"/>
        <w:tblInd w:w="-545" w:type="dxa"/>
        <w:tblLayout w:type="fixed"/>
        <w:tblLook w:val="04A0" w:firstRow="1" w:lastRow="0" w:firstColumn="1" w:lastColumn="0" w:noHBand="0" w:noVBand="1"/>
      </w:tblPr>
      <w:tblGrid>
        <w:gridCol w:w="3240"/>
        <w:gridCol w:w="1980"/>
        <w:gridCol w:w="1980"/>
        <w:gridCol w:w="2970"/>
      </w:tblGrid>
      <w:tr w:rsidR="00276781" w14:paraId="632DAADE" w14:textId="77777777" w:rsidTr="001C0BF4">
        <w:tc>
          <w:tcPr>
            <w:tcW w:w="3240" w:type="dxa"/>
          </w:tcPr>
          <w:p w14:paraId="33928293" w14:textId="77777777" w:rsidR="00276781" w:rsidRDefault="00276781" w:rsidP="00276781">
            <w:pPr>
              <w:rPr>
                <w:b/>
              </w:rPr>
            </w:pPr>
            <w:r>
              <w:rPr>
                <w:b/>
              </w:rPr>
              <w:t>Goal</w:t>
            </w:r>
          </w:p>
        </w:tc>
        <w:tc>
          <w:tcPr>
            <w:tcW w:w="1980" w:type="dxa"/>
          </w:tcPr>
          <w:p w14:paraId="16A81207" w14:textId="77777777" w:rsidR="00276781" w:rsidRDefault="00276781" w:rsidP="00276781">
            <w:pPr>
              <w:rPr>
                <w:b/>
              </w:rPr>
            </w:pPr>
            <w:r>
              <w:rPr>
                <w:b/>
              </w:rPr>
              <w:t>Objectives</w:t>
            </w:r>
          </w:p>
        </w:tc>
        <w:tc>
          <w:tcPr>
            <w:tcW w:w="1980" w:type="dxa"/>
          </w:tcPr>
          <w:p w14:paraId="48C85B1A" w14:textId="77777777" w:rsidR="00276781" w:rsidRDefault="00276781" w:rsidP="00276781">
            <w:pPr>
              <w:rPr>
                <w:b/>
              </w:rPr>
            </w:pPr>
            <w:r>
              <w:rPr>
                <w:b/>
              </w:rPr>
              <w:t>Method of Assessment</w:t>
            </w:r>
          </w:p>
        </w:tc>
        <w:tc>
          <w:tcPr>
            <w:tcW w:w="2970" w:type="dxa"/>
          </w:tcPr>
          <w:p w14:paraId="495BD600" w14:textId="77777777" w:rsidR="00276781" w:rsidRDefault="00276781" w:rsidP="00276781">
            <w:pPr>
              <w:rPr>
                <w:b/>
              </w:rPr>
            </w:pPr>
            <w:r>
              <w:rPr>
                <w:b/>
              </w:rPr>
              <w:t>Additional Funding Requests</w:t>
            </w:r>
          </w:p>
        </w:tc>
      </w:tr>
      <w:tr w:rsidR="005B7891" w:rsidRPr="004C37B5" w14:paraId="3531F08B" w14:textId="77777777" w:rsidTr="001C0BF4">
        <w:tc>
          <w:tcPr>
            <w:tcW w:w="3240" w:type="dxa"/>
          </w:tcPr>
          <w:p w14:paraId="297A95C9" w14:textId="77777777" w:rsidR="005B7891" w:rsidRPr="00FE6797" w:rsidRDefault="005B7891" w:rsidP="005B7891">
            <w:r>
              <w:t>Provide necessary equipment and reagents to teach entry level skills keeping abreast with new technology.</w:t>
            </w:r>
          </w:p>
          <w:p w14:paraId="65311020" w14:textId="26448A12" w:rsidR="000E4844" w:rsidRDefault="005B7891" w:rsidP="005B7891">
            <w:r w:rsidRPr="005F2E8E">
              <w:rPr>
                <w:b/>
              </w:rPr>
              <w:t xml:space="preserve">Program </w:t>
            </w:r>
            <w:r w:rsidRPr="000E4844">
              <w:rPr>
                <w:b/>
              </w:rPr>
              <w:t>Outcome</w:t>
            </w:r>
            <w:r w:rsidR="000E4844">
              <w:rPr>
                <w:b/>
              </w:rPr>
              <w:t xml:space="preserve"> </w:t>
            </w:r>
            <w:r w:rsidRPr="000E4844">
              <w:rPr>
                <w:b/>
              </w:rPr>
              <w:t>#1</w:t>
            </w:r>
          </w:p>
          <w:p w14:paraId="1339685E" w14:textId="2E71A457" w:rsidR="005B7891" w:rsidRPr="000E4844" w:rsidRDefault="005B7891" w:rsidP="005B7891">
            <w:pPr>
              <w:rPr>
                <w:b/>
              </w:rPr>
            </w:pPr>
            <w:r>
              <w:t>70% of students admitted to the MLT program will complete as technically competent individuals ready to enter the laboratory workforce</w:t>
            </w:r>
          </w:p>
          <w:p w14:paraId="677EC575" w14:textId="77777777" w:rsidR="00D63E4F" w:rsidRPr="005B393B" w:rsidRDefault="00D63E4F" w:rsidP="00D63E4F">
            <w:pPr>
              <w:rPr>
                <w:b/>
                <w:bCs/>
              </w:rPr>
            </w:pPr>
            <w:r>
              <w:rPr>
                <w:b/>
                <w:bCs/>
              </w:rPr>
              <w:t xml:space="preserve">College </w:t>
            </w:r>
            <w:r w:rsidRPr="005B393B">
              <w:rPr>
                <w:b/>
                <w:bCs/>
              </w:rPr>
              <w:t>Action Priority 1</w:t>
            </w:r>
          </w:p>
          <w:p w14:paraId="056A101F" w14:textId="77777777" w:rsidR="00D63E4F" w:rsidRDefault="00D63E4F" w:rsidP="00D63E4F">
            <w:r w:rsidRPr="005B393B">
              <w:t>Improve and advance college programs and units, including both academic and workforce development efforts</w:t>
            </w:r>
            <w:r>
              <w:t>.</w:t>
            </w:r>
          </w:p>
          <w:p w14:paraId="50F916FB" w14:textId="77777777" w:rsidR="00D63E4F" w:rsidRDefault="00D63E4F" w:rsidP="00D63E4F">
            <w:pPr>
              <w:rPr>
                <w:b/>
                <w:bCs/>
              </w:rPr>
            </w:pPr>
            <w:r w:rsidRPr="00C663E6">
              <w:rPr>
                <w:b/>
                <w:bCs/>
              </w:rPr>
              <w:t>Long-Range Goal</w:t>
            </w:r>
            <w:r>
              <w:rPr>
                <w:b/>
                <w:bCs/>
              </w:rPr>
              <w:t xml:space="preserve"> </w:t>
            </w:r>
            <w:r w:rsidRPr="00C663E6">
              <w:rPr>
                <w:b/>
                <w:bCs/>
              </w:rPr>
              <w:t>3.</w:t>
            </w:r>
            <w:r>
              <w:rPr>
                <w:b/>
                <w:bCs/>
              </w:rPr>
              <w:t>2</w:t>
            </w:r>
          </w:p>
          <w:p w14:paraId="129A75F4" w14:textId="7EF36AFB" w:rsidR="005B7891" w:rsidRPr="005F2E8E" w:rsidRDefault="00D63E4F" w:rsidP="00D63E4F">
            <w:pPr>
              <w:rPr>
                <w:b/>
              </w:rPr>
            </w:pPr>
            <w:r>
              <w:t>Physical facilities, technological resources and other resources that promote learning</w:t>
            </w:r>
          </w:p>
        </w:tc>
        <w:tc>
          <w:tcPr>
            <w:tcW w:w="1980" w:type="dxa"/>
          </w:tcPr>
          <w:p w14:paraId="1C65ABED" w14:textId="77777777" w:rsidR="005B7891" w:rsidRDefault="005B7891" w:rsidP="005B7891">
            <w:r>
              <w:t xml:space="preserve">1. Purchase the necessary equipment and supplies to provide high quality campus laboratory experiences. </w:t>
            </w:r>
          </w:p>
          <w:p w14:paraId="03816B68" w14:textId="77777777" w:rsidR="005B7891" w:rsidRDefault="005B7891" w:rsidP="005B7891"/>
          <w:p w14:paraId="4A700AE5" w14:textId="77777777" w:rsidR="005B7891" w:rsidRDefault="005B7891" w:rsidP="005B7891"/>
          <w:p w14:paraId="3BEF3379" w14:textId="4F0FBFDD" w:rsidR="005B7891" w:rsidRPr="004C37B5" w:rsidRDefault="005B7891" w:rsidP="005B7891"/>
        </w:tc>
        <w:tc>
          <w:tcPr>
            <w:tcW w:w="1980" w:type="dxa"/>
          </w:tcPr>
          <w:p w14:paraId="475EDCD7" w14:textId="77777777" w:rsidR="005B7891" w:rsidRDefault="005B7891" w:rsidP="005B7891">
            <w:r>
              <w:t>1. 80% or more of the faculty report satisfaction with available technology resources.</w:t>
            </w:r>
          </w:p>
          <w:p w14:paraId="44BFAB4A" w14:textId="1D4B024B" w:rsidR="005B7891" w:rsidRPr="00E52FF2" w:rsidRDefault="005B7891" w:rsidP="005B7891">
            <w:r>
              <w:t>2. 80% or more of students report satisfaction with available resources</w:t>
            </w:r>
          </w:p>
        </w:tc>
        <w:tc>
          <w:tcPr>
            <w:tcW w:w="2970" w:type="dxa"/>
          </w:tcPr>
          <w:p w14:paraId="61A3B715" w14:textId="247DAB42" w:rsidR="005B7891" w:rsidRDefault="005B7891" w:rsidP="005B7891">
            <w:pPr>
              <w:ind w:left="-108"/>
            </w:pPr>
            <w:r>
              <w:t xml:space="preserve">1a. </w:t>
            </w:r>
            <w:r w:rsidR="006A23BF">
              <w:t>Increase consumable</w:t>
            </w:r>
            <w:r>
              <w:t xml:space="preserve"> supply budget</w:t>
            </w:r>
          </w:p>
          <w:p w14:paraId="60B3978A" w14:textId="7B446F50" w:rsidR="005B7891" w:rsidRDefault="005B7891" w:rsidP="005B7891">
            <w:pPr>
              <w:ind w:left="-108"/>
              <w:rPr>
                <w:rFonts w:eastAsiaTheme="minorEastAsia"/>
                <w:sz w:val="24"/>
                <w:szCs w:val="24"/>
              </w:rPr>
            </w:pPr>
            <w:r>
              <w:t>$</w:t>
            </w:r>
            <w:r w:rsidR="00B3477F">
              <w:t>35</w:t>
            </w:r>
            <w:r>
              <w:t xml:space="preserve">,000.00 </w:t>
            </w:r>
          </w:p>
          <w:p w14:paraId="64C96D16" w14:textId="77777777" w:rsidR="005B7891" w:rsidRDefault="005B7891" w:rsidP="005B7891">
            <w:pPr>
              <w:ind w:left="-108"/>
              <w:rPr>
                <w:rFonts w:eastAsiaTheme="minorEastAsia"/>
                <w:sz w:val="24"/>
                <w:szCs w:val="24"/>
              </w:rPr>
            </w:pPr>
            <w:r>
              <w:rPr>
                <w:rFonts w:eastAsiaTheme="minorEastAsia"/>
                <w:sz w:val="24"/>
                <w:szCs w:val="24"/>
              </w:rPr>
              <w:t>1b. 50x oil immersion lenses for Leica microscopes 295.00 X12 $3600.00</w:t>
            </w:r>
          </w:p>
          <w:p w14:paraId="1E6ACAAC" w14:textId="198EB6F6" w:rsidR="005B7891" w:rsidRPr="005E0C15" w:rsidRDefault="005B7891" w:rsidP="005B7891">
            <w:pPr>
              <w:ind w:left="-108"/>
              <w:rPr>
                <w:rFonts w:eastAsiaTheme="minorEastAsia"/>
                <w:sz w:val="24"/>
                <w:szCs w:val="24"/>
              </w:rPr>
            </w:pPr>
            <w:r>
              <w:rPr>
                <w:rFonts w:eastAsiaTheme="minorEastAsia"/>
                <w:sz w:val="24"/>
                <w:szCs w:val="24"/>
              </w:rPr>
              <w:t xml:space="preserve">1c Purchase new chemistry analyzers </w:t>
            </w:r>
            <w:r w:rsidR="005E0C15">
              <w:rPr>
                <w:rFonts w:eastAsiaTheme="minorEastAsia"/>
                <w:sz w:val="24"/>
                <w:szCs w:val="24"/>
              </w:rPr>
              <w:t>1 fully automated analyzer</w:t>
            </w:r>
            <w:r w:rsidR="000777F3">
              <w:rPr>
                <w:rFonts w:eastAsiaTheme="minorEastAsia"/>
                <w:sz w:val="24"/>
                <w:szCs w:val="24"/>
              </w:rPr>
              <w:t xml:space="preserve">$40,000.00 </w:t>
            </w:r>
            <w:r w:rsidR="005E0C15">
              <w:rPr>
                <w:rFonts w:eastAsiaTheme="minorEastAsia"/>
                <w:sz w:val="24"/>
                <w:szCs w:val="24"/>
              </w:rPr>
              <w:t xml:space="preserve">and </w:t>
            </w:r>
            <w:r w:rsidR="00D63E4F">
              <w:rPr>
                <w:rFonts w:eastAsiaTheme="minorEastAsia"/>
                <w:sz w:val="24"/>
                <w:szCs w:val="24"/>
              </w:rPr>
              <w:t>4</w:t>
            </w:r>
            <w:r w:rsidR="005E0C15">
              <w:rPr>
                <w:rFonts w:eastAsiaTheme="minorEastAsia"/>
                <w:sz w:val="24"/>
                <w:szCs w:val="24"/>
              </w:rPr>
              <w:t xml:space="preserve"> semi-automated </w:t>
            </w:r>
            <w:r w:rsidR="005E0C15" w:rsidRPr="005E0C15">
              <w:rPr>
                <w:rFonts w:eastAsiaTheme="minorEastAsia"/>
                <w:sz w:val="24"/>
                <w:szCs w:val="24"/>
              </w:rPr>
              <w:t>analy</w:t>
            </w:r>
            <w:r w:rsidR="005E0C15">
              <w:rPr>
                <w:rFonts w:eastAsiaTheme="minorEastAsia"/>
                <w:sz w:val="24"/>
                <w:szCs w:val="24"/>
              </w:rPr>
              <w:t>z</w:t>
            </w:r>
            <w:r w:rsidR="005E0C15" w:rsidRPr="005E0C15">
              <w:rPr>
                <w:rFonts w:eastAsiaTheme="minorEastAsia"/>
                <w:sz w:val="24"/>
                <w:szCs w:val="24"/>
              </w:rPr>
              <w:t>ers</w:t>
            </w:r>
            <w:r w:rsidR="000777F3">
              <w:rPr>
                <w:rFonts w:eastAsiaTheme="minorEastAsia"/>
                <w:sz w:val="24"/>
                <w:szCs w:val="24"/>
              </w:rPr>
              <w:t xml:space="preserve"> at $5,00.00 each totaling $20,000.00</w:t>
            </w:r>
          </w:p>
          <w:p w14:paraId="5409D02D" w14:textId="77777777" w:rsidR="005E0C15" w:rsidRDefault="005E0C15" w:rsidP="005B7891">
            <w:pPr>
              <w:ind w:left="-108"/>
              <w:rPr>
                <w:rFonts w:eastAsiaTheme="minorEastAsia"/>
                <w:sz w:val="24"/>
                <w:szCs w:val="24"/>
              </w:rPr>
            </w:pPr>
          </w:p>
          <w:p w14:paraId="1FE7FDD7" w14:textId="77777777" w:rsidR="005B7891" w:rsidRDefault="005B7891" w:rsidP="005B7891">
            <w:pPr>
              <w:ind w:left="-108"/>
              <w:rPr>
                <w:rFonts w:eastAsiaTheme="minorEastAsia"/>
                <w:sz w:val="24"/>
                <w:szCs w:val="24"/>
              </w:rPr>
            </w:pPr>
          </w:p>
          <w:p w14:paraId="2201DDCD" w14:textId="77777777" w:rsidR="005B7891" w:rsidRDefault="005B7891" w:rsidP="005B7891">
            <w:pPr>
              <w:ind w:left="-108"/>
              <w:rPr>
                <w:rFonts w:eastAsiaTheme="minorEastAsia"/>
                <w:sz w:val="24"/>
                <w:szCs w:val="24"/>
              </w:rPr>
            </w:pPr>
          </w:p>
          <w:p w14:paraId="3CA6D0E6" w14:textId="77777777" w:rsidR="005B7891" w:rsidRDefault="005B7891" w:rsidP="005B7891">
            <w:pPr>
              <w:ind w:left="-108"/>
              <w:rPr>
                <w:rFonts w:eastAsiaTheme="minorEastAsia"/>
                <w:sz w:val="24"/>
                <w:szCs w:val="24"/>
              </w:rPr>
            </w:pPr>
          </w:p>
          <w:p w14:paraId="66A8CFB5" w14:textId="77777777" w:rsidR="005B7891" w:rsidRDefault="005B7891" w:rsidP="005B7891">
            <w:pPr>
              <w:pStyle w:val="ListParagraph"/>
              <w:ind w:left="0"/>
              <w:rPr>
                <w:rFonts w:eastAsiaTheme="minorEastAsia"/>
                <w:sz w:val="24"/>
                <w:szCs w:val="24"/>
              </w:rPr>
            </w:pPr>
          </w:p>
          <w:p w14:paraId="1C604B35" w14:textId="77777777" w:rsidR="005B7891" w:rsidRPr="00E52FF2" w:rsidRDefault="005B7891" w:rsidP="005B7891">
            <w:pPr>
              <w:pStyle w:val="ListParagraph"/>
              <w:ind w:left="0"/>
            </w:pPr>
          </w:p>
        </w:tc>
      </w:tr>
      <w:tr w:rsidR="005B7891" w:rsidRPr="004C37B5" w14:paraId="6AFBDF58" w14:textId="77777777" w:rsidTr="001C0BF4">
        <w:tc>
          <w:tcPr>
            <w:tcW w:w="3240" w:type="dxa"/>
          </w:tcPr>
          <w:p w14:paraId="1E353EEB" w14:textId="77777777" w:rsidR="005B7891" w:rsidRDefault="005B7891" w:rsidP="005B7891">
            <w:r w:rsidRPr="00FE6797">
              <w:t>Monitor student progress</w:t>
            </w:r>
            <w:r>
              <w:t xml:space="preserve"> with online tools that will enhance competency within the curriculum.</w:t>
            </w:r>
          </w:p>
          <w:p w14:paraId="68D862C9" w14:textId="77777777" w:rsidR="00D63E4F" w:rsidRDefault="005B7891" w:rsidP="005B7891">
            <w:r w:rsidRPr="00D92E19">
              <w:rPr>
                <w:b/>
              </w:rPr>
              <w:t xml:space="preserve">Program </w:t>
            </w:r>
            <w:r w:rsidRPr="00D63E4F">
              <w:rPr>
                <w:b/>
              </w:rPr>
              <w:t>Outcome</w:t>
            </w:r>
            <w:r w:rsidR="00D63E4F" w:rsidRPr="00D63E4F">
              <w:rPr>
                <w:b/>
              </w:rPr>
              <w:t xml:space="preserve"> </w:t>
            </w:r>
            <w:r w:rsidRPr="00D63E4F">
              <w:rPr>
                <w:b/>
              </w:rPr>
              <w:t>#2.</w:t>
            </w:r>
            <w:r>
              <w:t xml:space="preserve"> </w:t>
            </w:r>
          </w:p>
          <w:p w14:paraId="107EB28C" w14:textId="77777777" w:rsidR="005B7891" w:rsidRDefault="005B7891" w:rsidP="005B7891">
            <w:r>
              <w:t>Graduates will take the ASCP BOC or AMT national certification exam with a pass rate at or above the NAACLS benchmark of 75%</w:t>
            </w:r>
          </w:p>
          <w:p w14:paraId="6794569C" w14:textId="77777777" w:rsidR="00D63E4F" w:rsidRDefault="00D63E4F" w:rsidP="00D63E4F">
            <w:pPr>
              <w:rPr>
                <w:b/>
                <w:bCs/>
              </w:rPr>
            </w:pPr>
            <w:r w:rsidRPr="002F1C49">
              <w:rPr>
                <w:b/>
                <w:bCs/>
              </w:rPr>
              <w:t>Long-Range Goal 2.2</w:t>
            </w:r>
          </w:p>
          <w:p w14:paraId="6FCE025A" w14:textId="40CB8FE4" w:rsidR="00D63E4F" w:rsidRPr="00D63E4F" w:rsidRDefault="00D63E4F" w:rsidP="00D63E4F">
            <w:pPr>
              <w:rPr>
                <w:b/>
              </w:rPr>
            </w:pPr>
            <w:r w:rsidRPr="007B4B43">
              <w:t>Career and Professional associate degree programs that integrate general and career specific education and prepare students for immediate employment.</w:t>
            </w:r>
          </w:p>
        </w:tc>
        <w:tc>
          <w:tcPr>
            <w:tcW w:w="1980" w:type="dxa"/>
          </w:tcPr>
          <w:p w14:paraId="21AC2B5A" w14:textId="77777777" w:rsidR="005B7891" w:rsidRDefault="005B7891" w:rsidP="005B7891">
            <w:r>
              <w:t>1. To increase the number of students passing a national certification exam</w:t>
            </w:r>
          </w:p>
          <w:p w14:paraId="6507EFC3" w14:textId="77777777" w:rsidR="005B7891" w:rsidRDefault="005B7891" w:rsidP="005B7891"/>
          <w:p w14:paraId="7C860465" w14:textId="77777777" w:rsidR="005B7891" w:rsidRDefault="005B7891" w:rsidP="005B7891"/>
          <w:p w14:paraId="3C63A0DC" w14:textId="77777777" w:rsidR="005B7891" w:rsidRDefault="005B7891" w:rsidP="005B7891"/>
          <w:p w14:paraId="551EEFA9" w14:textId="77777777" w:rsidR="005B7891" w:rsidRDefault="005B7891" w:rsidP="005B7891"/>
          <w:p w14:paraId="1EDD1B23" w14:textId="77777777" w:rsidR="005B7891" w:rsidRDefault="005B7891" w:rsidP="005B7891"/>
          <w:p w14:paraId="2366C10B" w14:textId="77777777" w:rsidR="005B7891" w:rsidRDefault="005B7891" w:rsidP="005B7891"/>
          <w:p w14:paraId="748A5101" w14:textId="77777777" w:rsidR="005B7891" w:rsidRDefault="005B7891" w:rsidP="005B7891">
            <w:pPr>
              <w:ind w:left="-108"/>
            </w:pPr>
          </w:p>
        </w:tc>
        <w:tc>
          <w:tcPr>
            <w:tcW w:w="1980" w:type="dxa"/>
          </w:tcPr>
          <w:p w14:paraId="380886BB" w14:textId="77777777" w:rsidR="005B7891" w:rsidRPr="001F08BD" w:rsidRDefault="005B7891" w:rsidP="005B7891">
            <w:r w:rsidRPr="001F08BD">
              <w:t>1. ASCP BOC certification statistics at or above the NAACLS benchmark of 75%</w:t>
            </w:r>
          </w:p>
          <w:p w14:paraId="3A259591" w14:textId="77777777" w:rsidR="005B7891" w:rsidRPr="001F08BD" w:rsidRDefault="005B7891" w:rsidP="005B7891"/>
          <w:p w14:paraId="4EE7A927" w14:textId="77777777" w:rsidR="005B7891" w:rsidRPr="00D92E19" w:rsidRDefault="005B7891" w:rsidP="005B7891">
            <w:pPr>
              <w:rPr>
                <w:i/>
              </w:rPr>
            </w:pPr>
          </w:p>
          <w:p w14:paraId="28510FF7" w14:textId="77777777" w:rsidR="005B7891" w:rsidRPr="00D92E19" w:rsidRDefault="005B7891" w:rsidP="005B7891">
            <w:pPr>
              <w:rPr>
                <w:i/>
              </w:rPr>
            </w:pPr>
          </w:p>
          <w:p w14:paraId="48DE458E" w14:textId="77777777" w:rsidR="005B7891" w:rsidRPr="00D92E19" w:rsidRDefault="005B7891" w:rsidP="005B7891">
            <w:pPr>
              <w:rPr>
                <w:i/>
              </w:rPr>
            </w:pPr>
          </w:p>
          <w:p w14:paraId="121F35BA" w14:textId="77777777" w:rsidR="005B7891" w:rsidRPr="00D92E19" w:rsidRDefault="005B7891" w:rsidP="005B7891">
            <w:pPr>
              <w:rPr>
                <w:i/>
              </w:rPr>
            </w:pPr>
          </w:p>
          <w:p w14:paraId="6EA96238" w14:textId="2C737977" w:rsidR="005B7891" w:rsidRDefault="005B7891" w:rsidP="005B7891"/>
        </w:tc>
        <w:tc>
          <w:tcPr>
            <w:tcW w:w="2970" w:type="dxa"/>
          </w:tcPr>
          <w:p w14:paraId="525CCB94" w14:textId="77777777" w:rsidR="005B7891" w:rsidRPr="00933E60" w:rsidRDefault="005B7891" w:rsidP="005B7891">
            <w:r w:rsidRPr="00933E60">
              <w:t xml:space="preserve">1. ASCP BOC testing report </w:t>
            </w:r>
          </w:p>
          <w:p w14:paraId="4CFAD0A5" w14:textId="77777777" w:rsidR="005B7891" w:rsidRPr="00933E60" w:rsidRDefault="005B7891" w:rsidP="005B7891">
            <w:r w:rsidRPr="00933E60">
              <w:t xml:space="preserve">Cost:  $150.00 per year. </w:t>
            </w:r>
          </w:p>
          <w:p w14:paraId="4D2328A6" w14:textId="77777777" w:rsidR="005B7891" w:rsidRPr="00933E60" w:rsidRDefault="005B7891" w:rsidP="005B7891">
            <w:r w:rsidRPr="00933E60">
              <w:t xml:space="preserve">2. Medtraining training subscription </w:t>
            </w:r>
          </w:p>
          <w:p w14:paraId="58DB58EC" w14:textId="40361DF6" w:rsidR="005B7891" w:rsidRPr="00933E60" w:rsidRDefault="005B7891" w:rsidP="005B7891">
            <w:r w:rsidRPr="00933E60">
              <w:t>Cost: $1,39</w:t>
            </w:r>
            <w:r w:rsidR="005E0C15">
              <w:t>5</w:t>
            </w:r>
            <w:r w:rsidRPr="00933E60">
              <w:t>.00 yearly</w:t>
            </w:r>
          </w:p>
          <w:p w14:paraId="71EF2FCC" w14:textId="10F7F2A0" w:rsidR="005B7891" w:rsidRDefault="005B7891" w:rsidP="005B7891">
            <w:r w:rsidRPr="00933E60">
              <w:t>3. NAACLS Accreditation yearly fees $2</w:t>
            </w:r>
            <w:r w:rsidR="000777F3">
              <w:t>692</w:t>
            </w:r>
            <w:r w:rsidRPr="00933E60">
              <w:t>.00</w:t>
            </w:r>
          </w:p>
          <w:p w14:paraId="4AFCD253" w14:textId="0D47AD6D" w:rsidR="005E0C15" w:rsidRDefault="005E0C15" w:rsidP="005B7891">
            <w:r>
              <w:t>4. NAACLS Site visit expenses</w:t>
            </w:r>
          </w:p>
          <w:p w14:paraId="11D4E1C7" w14:textId="47D4632F" w:rsidR="00D63E4F" w:rsidRPr="00933E60" w:rsidRDefault="00D63E4F" w:rsidP="005B7891">
            <w:r>
              <w:t>$2000.00</w:t>
            </w:r>
          </w:p>
          <w:p w14:paraId="00098BB1" w14:textId="3D7A062F" w:rsidR="005B7891" w:rsidRDefault="005E0C15" w:rsidP="005B7891">
            <w:r>
              <w:t>5</w:t>
            </w:r>
            <w:r w:rsidR="005B7891" w:rsidRPr="00933E60">
              <w:t>. Orchard Software</w:t>
            </w:r>
            <w:r w:rsidR="005B7891">
              <w:t xml:space="preserve"> license </w:t>
            </w:r>
            <w:r w:rsidR="00D63E4F">
              <w:t>$</w:t>
            </w:r>
            <w:r w:rsidR="000777F3">
              <w:t>3</w:t>
            </w:r>
            <w:r w:rsidR="00C860B8">
              <w:t>059.39</w:t>
            </w:r>
          </w:p>
          <w:p w14:paraId="0940AC0B" w14:textId="398D728C" w:rsidR="005B7891" w:rsidRDefault="005E0C15" w:rsidP="005B7891">
            <w:r>
              <w:t>6</w:t>
            </w:r>
            <w:r w:rsidR="005B7891">
              <w:t xml:space="preserve">. </w:t>
            </w:r>
            <w:r w:rsidR="000F34DA">
              <w:t xml:space="preserve">ASCP </w:t>
            </w:r>
            <w:r w:rsidR="00D63E4F">
              <w:t xml:space="preserve">BOC </w:t>
            </w:r>
            <w:r w:rsidR="000F34DA">
              <w:t xml:space="preserve">Interactive Practice Exam </w:t>
            </w:r>
            <w:hyperlink r:id="rId7" w:history="1">
              <w:r w:rsidR="00D63E4F" w:rsidRPr="00AC52DF">
                <w:rPr>
                  <w:rStyle w:val="Hyperlink"/>
                </w:rPr>
                <w:t>30@50.00</w:t>
              </w:r>
            </w:hyperlink>
            <w:r w:rsidR="00D63E4F">
              <w:t xml:space="preserve"> each =</w:t>
            </w:r>
            <w:r w:rsidR="000F34DA">
              <w:t>$1600.00</w:t>
            </w:r>
          </w:p>
          <w:p w14:paraId="1114D1F4" w14:textId="5FF18EE1" w:rsidR="005B7891" w:rsidRDefault="005E0C15" w:rsidP="005B7891">
            <w:r>
              <w:t>7</w:t>
            </w:r>
            <w:r w:rsidR="005B7891">
              <w:t xml:space="preserve">. Printing </w:t>
            </w:r>
            <w:r>
              <w:t>4</w:t>
            </w:r>
            <w:r w:rsidR="000F34DA">
              <w:t>00.00</w:t>
            </w:r>
          </w:p>
          <w:p w14:paraId="2368150A" w14:textId="2DD37A01" w:rsidR="005B7891" w:rsidRPr="00933E60" w:rsidRDefault="005B7891" w:rsidP="005B7891">
            <w:pPr>
              <w:ind w:left="-108"/>
            </w:pPr>
          </w:p>
        </w:tc>
      </w:tr>
      <w:tr w:rsidR="005B7891" w14:paraId="5C1DA9FE" w14:textId="77777777" w:rsidTr="001C0BF4">
        <w:tc>
          <w:tcPr>
            <w:tcW w:w="3240" w:type="dxa"/>
          </w:tcPr>
          <w:p w14:paraId="78D0C36D" w14:textId="77777777" w:rsidR="005B7891" w:rsidRDefault="005B7891" w:rsidP="005B7891">
            <w:r>
              <w:t>Keep abreast of changes and trends in the Laboratory Science profession to improve classroom instruction.</w:t>
            </w:r>
          </w:p>
          <w:p w14:paraId="7BE61AAA" w14:textId="77777777" w:rsidR="005B7891" w:rsidRDefault="005B7891" w:rsidP="005B7891">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14:paraId="4599E584" w14:textId="77777777" w:rsidR="005B7891" w:rsidRPr="00D87587" w:rsidRDefault="005B7891" w:rsidP="005B7891">
            <w:r w:rsidRPr="00D87587">
              <w:rPr>
                <w:rFonts w:eastAsia="Times New Roman" w:cs="Arial"/>
              </w:rPr>
              <w:lastRenderedPageBreak/>
              <w:t>documentation of 36 CEU hours over each 3</w:t>
            </w:r>
            <w:r>
              <w:rPr>
                <w:rFonts w:eastAsia="Times New Roman" w:cs="Arial"/>
              </w:rPr>
              <w:t>-</w:t>
            </w:r>
            <w:r w:rsidRPr="00D87587">
              <w:rPr>
                <w:rFonts w:eastAsia="Times New Roman" w:cs="Arial"/>
              </w:rPr>
              <w:t xml:space="preserve">year period. </w:t>
            </w:r>
          </w:p>
          <w:p w14:paraId="3C06D93D" w14:textId="77777777" w:rsidR="005B7891" w:rsidRPr="00D87587" w:rsidRDefault="005B7891" w:rsidP="005B7891">
            <w:pPr>
              <w:pStyle w:val="Default"/>
              <w:rPr>
                <w:rFonts w:asciiTheme="minorHAnsi" w:hAnsiTheme="minorHAnsi"/>
                <w:sz w:val="22"/>
                <w:szCs w:val="22"/>
              </w:rPr>
            </w:pPr>
            <w:r>
              <w:rPr>
                <w:rFonts w:asciiTheme="minorHAnsi" w:hAnsiTheme="minorHAnsi"/>
                <w:sz w:val="22"/>
                <w:szCs w:val="22"/>
              </w:rPr>
              <w:t>Standard VII.2.c.</w:t>
            </w:r>
          </w:p>
          <w:p w14:paraId="6DC8BC4B" w14:textId="77777777" w:rsidR="005B7891" w:rsidRPr="00D87587" w:rsidRDefault="005B7891" w:rsidP="005B7891">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14:paraId="48EC7FDB" w14:textId="77777777" w:rsidR="005B7891" w:rsidRDefault="005B7891" w:rsidP="005B7891">
            <w:r w:rsidRPr="00D87587">
              <w:t>The program must have qualified faculty/instructors</w:t>
            </w:r>
            <w:r>
              <w:t>.</w:t>
            </w:r>
            <w:r w:rsidRPr="00D87587">
              <w:t xml:space="preserve">  The program must ensure and document ongoing professional development of th</w:t>
            </w:r>
            <w:r>
              <w:t>e program faculty/instructors.</w:t>
            </w:r>
          </w:p>
          <w:p w14:paraId="68F6F2D7" w14:textId="77777777" w:rsidR="007E7468" w:rsidRPr="005B393B" w:rsidRDefault="007E7468" w:rsidP="007E7468">
            <w:pPr>
              <w:rPr>
                <w:b/>
                <w:bCs/>
              </w:rPr>
            </w:pPr>
            <w:r>
              <w:rPr>
                <w:b/>
                <w:bCs/>
              </w:rPr>
              <w:t xml:space="preserve">College </w:t>
            </w:r>
            <w:r w:rsidRPr="005B393B">
              <w:rPr>
                <w:b/>
                <w:bCs/>
              </w:rPr>
              <w:t>Action Priority 1</w:t>
            </w:r>
          </w:p>
          <w:p w14:paraId="64CF1172" w14:textId="77777777" w:rsidR="007E7468" w:rsidRDefault="007E7468" w:rsidP="007E7468">
            <w:r w:rsidRPr="005B393B">
              <w:t>Improve and advance college programs and units, including both academic and workforce development efforts</w:t>
            </w:r>
            <w:r>
              <w:t>.</w:t>
            </w:r>
          </w:p>
          <w:p w14:paraId="76DD3F77" w14:textId="77777777" w:rsidR="007E7468" w:rsidRDefault="007E7468" w:rsidP="007E7468">
            <w:pPr>
              <w:rPr>
                <w:b/>
                <w:bCs/>
              </w:rPr>
            </w:pPr>
            <w:r w:rsidRPr="00021E49">
              <w:rPr>
                <w:b/>
                <w:bCs/>
              </w:rPr>
              <w:t>Long-Range Goal 4.2</w:t>
            </w:r>
          </w:p>
          <w:p w14:paraId="3C993E90" w14:textId="20D8BE81" w:rsidR="005B7891" w:rsidRPr="005906D1" w:rsidRDefault="007E7468" w:rsidP="007E7468">
            <w:r>
              <w:t>Professional development experiences that enable personnel to maintain currency in their respective files, increase their awareness and use of alternative methods of meeting the needs of a diverse student population, and develop innovative approaches to fulfilling their roles in the institution.</w:t>
            </w:r>
          </w:p>
        </w:tc>
        <w:tc>
          <w:tcPr>
            <w:tcW w:w="1980" w:type="dxa"/>
          </w:tcPr>
          <w:p w14:paraId="76A7F4FC" w14:textId="041512C9" w:rsidR="005B7891" w:rsidRDefault="005B7891" w:rsidP="005B7891">
            <w:r>
              <w:lastRenderedPageBreak/>
              <w:t>1. Provide the MLT full-time faculty the opportunity to obtain professional development.</w:t>
            </w:r>
          </w:p>
        </w:tc>
        <w:tc>
          <w:tcPr>
            <w:tcW w:w="1980" w:type="dxa"/>
          </w:tcPr>
          <w:p w14:paraId="4F0CA311" w14:textId="377E6B8F" w:rsidR="005B7891" w:rsidRPr="00D92E19" w:rsidRDefault="005B7891" w:rsidP="005B7891">
            <w:pPr>
              <w:rPr>
                <w:i/>
              </w:rPr>
            </w:pPr>
            <w:r w:rsidRPr="00D92E19">
              <w:t>1. Meets NAACLS continuing education standards for accreditation</w:t>
            </w:r>
          </w:p>
        </w:tc>
        <w:tc>
          <w:tcPr>
            <w:tcW w:w="2970" w:type="dxa"/>
          </w:tcPr>
          <w:p w14:paraId="07369FFA" w14:textId="77777777" w:rsidR="000777F3" w:rsidRDefault="000777F3" w:rsidP="000777F3">
            <w:r>
              <w:t xml:space="preserve">1. Program Coordinator or Clinical Coordinator to attend </w:t>
            </w:r>
            <w:r w:rsidRPr="006E4A65">
              <w:t>CLEC</w:t>
            </w:r>
            <w:r>
              <w:t>.</w:t>
            </w:r>
            <w:r w:rsidRPr="006E4A65">
              <w:t xml:space="preserve"> </w:t>
            </w:r>
            <w:r>
              <w:t>Site to be determined.</w:t>
            </w:r>
          </w:p>
          <w:p w14:paraId="55A3FB62" w14:textId="77777777" w:rsidR="000777F3" w:rsidRDefault="000777F3" w:rsidP="000777F3">
            <w:r w:rsidRPr="006E4A65">
              <w:t xml:space="preserve">Estimated cost of </w:t>
            </w:r>
            <w:r>
              <w:t>$1,700.00</w:t>
            </w:r>
          </w:p>
          <w:p w14:paraId="0EEFB5F9" w14:textId="77777777" w:rsidR="000777F3" w:rsidRDefault="000777F3" w:rsidP="000777F3">
            <w:r>
              <w:t>2. Program Coordinator or Clinical Coordinator</w:t>
            </w:r>
          </w:p>
          <w:p w14:paraId="5FE12A39" w14:textId="0157A6B0" w:rsidR="005B7891" w:rsidRDefault="000777F3" w:rsidP="000777F3">
            <w:r>
              <w:t>To attend CEU offering not to exceed $</w:t>
            </w:r>
            <w:r w:rsidR="000E4844">
              <w:t>6</w:t>
            </w:r>
            <w:r>
              <w:t>00.00 for IAP</w:t>
            </w:r>
          </w:p>
        </w:tc>
      </w:tr>
      <w:tr w:rsidR="005B7891" w14:paraId="460F6A69" w14:textId="77777777" w:rsidTr="001C0BF4">
        <w:tc>
          <w:tcPr>
            <w:tcW w:w="3240" w:type="dxa"/>
          </w:tcPr>
          <w:p w14:paraId="3C142794" w14:textId="77777777" w:rsidR="005B7891" w:rsidRPr="00725514" w:rsidRDefault="005B7891" w:rsidP="005B7891">
            <w:r w:rsidRPr="00725514">
              <w:lastRenderedPageBreak/>
              <w:t>Continue to develop and implement written Student Learning Outcomes (SLOs) for all courses in the department to more adequately document and enhance reporting of student progress in the department.</w:t>
            </w:r>
          </w:p>
          <w:p w14:paraId="6C3F2497" w14:textId="77777777" w:rsidR="005B7891" w:rsidRPr="007E7468" w:rsidRDefault="005B7891" w:rsidP="005B7891">
            <w:pPr>
              <w:rPr>
                <w:bCs/>
              </w:rPr>
            </w:pPr>
          </w:p>
          <w:p w14:paraId="3502FD62" w14:textId="77777777" w:rsidR="007E7468" w:rsidRPr="007E7468" w:rsidRDefault="005B7891" w:rsidP="005B7891">
            <w:pPr>
              <w:rPr>
                <w:b/>
              </w:rPr>
            </w:pPr>
            <w:r w:rsidRPr="007E7468">
              <w:rPr>
                <w:b/>
              </w:rPr>
              <w:t>Program Outcome</w:t>
            </w:r>
            <w:r w:rsidR="007E7468" w:rsidRPr="007E7468">
              <w:rPr>
                <w:b/>
              </w:rPr>
              <w:t xml:space="preserve"> #</w:t>
            </w:r>
            <w:r w:rsidRPr="007E7468">
              <w:rPr>
                <w:b/>
              </w:rPr>
              <w:t>4</w:t>
            </w:r>
          </w:p>
          <w:p w14:paraId="37055E18" w14:textId="4EBF76DC" w:rsidR="005B7891" w:rsidRPr="007E7468" w:rsidRDefault="005B7891" w:rsidP="005B7891">
            <w:pPr>
              <w:rPr>
                <w:b/>
              </w:rPr>
            </w:pPr>
            <w:r w:rsidRPr="007B149C">
              <w:t>Employers and graduates returning surveys will report 85% satisfaction with educational preparation</w:t>
            </w:r>
          </w:p>
          <w:p w14:paraId="0603661B" w14:textId="77777777" w:rsidR="007E7468" w:rsidRDefault="007E7468" w:rsidP="007E7468">
            <w:pPr>
              <w:rPr>
                <w:b/>
              </w:rPr>
            </w:pPr>
            <w:r>
              <w:rPr>
                <w:b/>
              </w:rPr>
              <w:t>College Action Priority #2</w:t>
            </w:r>
          </w:p>
          <w:p w14:paraId="752B295A" w14:textId="77777777" w:rsidR="005B7891" w:rsidRDefault="007E7468" w:rsidP="007E7468">
            <w:r>
              <w:t>Increase visibility and promote communication both inside and outside of the college</w:t>
            </w:r>
          </w:p>
          <w:p w14:paraId="64FA3027" w14:textId="7DE702F2" w:rsidR="007E7468" w:rsidRPr="00544D74" w:rsidRDefault="007E7468" w:rsidP="007E7468"/>
        </w:tc>
        <w:tc>
          <w:tcPr>
            <w:tcW w:w="1980" w:type="dxa"/>
          </w:tcPr>
          <w:p w14:paraId="5DFB1333" w14:textId="77777777" w:rsidR="005B7891" w:rsidRDefault="005B7891" w:rsidP="005B7891">
            <w:r>
              <w:t>1. Review SLOs annually and revise as necessary based upon input from faculty, graduates, employers, and advisory committee members.</w:t>
            </w:r>
          </w:p>
          <w:p w14:paraId="6D1624ED" w14:textId="7F6A62D3" w:rsidR="005B7891" w:rsidRDefault="005B7891" w:rsidP="005B7891"/>
        </w:tc>
        <w:tc>
          <w:tcPr>
            <w:tcW w:w="1980" w:type="dxa"/>
          </w:tcPr>
          <w:p w14:paraId="041C63DF" w14:textId="77777777" w:rsidR="005B7891" w:rsidRDefault="005B7891" w:rsidP="005B7891">
            <w:r>
              <w:t>1. 80% of students surveyed will agree that outcomes are met.</w:t>
            </w:r>
          </w:p>
          <w:p w14:paraId="50301B68" w14:textId="77777777" w:rsidR="005B7891" w:rsidRDefault="005B7891" w:rsidP="005B7891">
            <w:r>
              <w:t>2. 80% of employers surveyed will agree that outcomes are met.</w:t>
            </w:r>
          </w:p>
          <w:p w14:paraId="609843DD" w14:textId="77777777" w:rsidR="005B7891" w:rsidRDefault="005B7891" w:rsidP="005B7891">
            <w:r>
              <w:t xml:space="preserve">3. Annual programmatic review of the outcomes assessment plan which incorporates surveys of employers, graduates, and advisory committee  </w:t>
            </w:r>
          </w:p>
          <w:p w14:paraId="0593935C" w14:textId="08C818C1" w:rsidR="005B7891" w:rsidRPr="00D92E19" w:rsidRDefault="005B7891" w:rsidP="005B7891"/>
        </w:tc>
        <w:tc>
          <w:tcPr>
            <w:tcW w:w="2970" w:type="dxa"/>
          </w:tcPr>
          <w:p w14:paraId="1381FF42" w14:textId="77777777" w:rsidR="00100BDD" w:rsidRDefault="005B7891" w:rsidP="005B7891">
            <w:r>
              <w:lastRenderedPageBreak/>
              <w:t>1. Funding for fall and spring</w:t>
            </w:r>
          </w:p>
          <w:p w14:paraId="4C706261" w14:textId="2DD30560" w:rsidR="005B7891" w:rsidRDefault="005B7891" w:rsidP="005B7891">
            <w:r>
              <w:t>advisory meetings</w:t>
            </w:r>
          </w:p>
          <w:p w14:paraId="0E7B0F10" w14:textId="77777777" w:rsidR="005B7891" w:rsidRDefault="005B7891" w:rsidP="005B7891">
            <w:r>
              <w:t>Estimated cost: $450.00</w:t>
            </w:r>
          </w:p>
          <w:p w14:paraId="21FD9AE7" w14:textId="77777777" w:rsidR="005B7891" w:rsidRDefault="005B7891" w:rsidP="005B7891"/>
          <w:p w14:paraId="791C199C" w14:textId="2B09EADE" w:rsidR="005B7891" w:rsidRDefault="005B7891" w:rsidP="005B7891"/>
        </w:tc>
      </w:tr>
      <w:tr w:rsidR="005B7891" w14:paraId="3B6B06ED" w14:textId="77777777" w:rsidTr="001C0BF4">
        <w:tc>
          <w:tcPr>
            <w:tcW w:w="3240" w:type="dxa"/>
          </w:tcPr>
          <w:p w14:paraId="5EF39AF7" w14:textId="2EEC4D99" w:rsidR="009A520C" w:rsidRPr="005A01F0" w:rsidRDefault="009A520C" w:rsidP="009A520C">
            <w:r w:rsidRPr="005A01F0">
              <w:t xml:space="preserve">Develop </w:t>
            </w:r>
            <w:r>
              <w:t xml:space="preserve">partnerships and affiliation agreements </w:t>
            </w:r>
            <w:r w:rsidRPr="005A01F0">
              <w:t>with additional healthcare settings to increase the number of student enrollment in the program.</w:t>
            </w:r>
          </w:p>
          <w:p w14:paraId="7D46C156" w14:textId="77777777" w:rsidR="007E7468" w:rsidRPr="007E7468" w:rsidRDefault="009A520C" w:rsidP="009A520C">
            <w:pPr>
              <w:rPr>
                <w:b/>
              </w:rPr>
            </w:pPr>
            <w:r w:rsidRPr="007E7468">
              <w:rPr>
                <w:b/>
              </w:rPr>
              <w:t>Program Outcome</w:t>
            </w:r>
            <w:r w:rsidR="007E7468" w:rsidRPr="007E7468">
              <w:rPr>
                <w:b/>
              </w:rPr>
              <w:t xml:space="preserve"> </w:t>
            </w:r>
            <w:r w:rsidRPr="007E7468">
              <w:rPr>
                <w:b/>
              </w:rPr>
              <w:t xml:space="preserve">#1. </w:t>
            </w:r>
          </w:p>
          <w:p w14:paraId="30E6CFFC" w14:textId="3369CF69" w:rsidR="009A520C" w:rsidRPr="007E7468" w:rsidRDefault="009A520C" w:rsidP="009A520C">
            <w:pPr>
              <w:rPr>
                <w:b/>
              </w:rPr>
            </w:pPr>
            <w:r w:rsidRPr="005A01F0">
              <w:t xml:space="preserve">70% of students admitted to the </w:t>
            </w:r>
            <w:r>
              <w:t>HS</w:t>
            </w:r>
            <w:r w:rsidRPr="005A01F0">
              <w:t>T program will complete as technically competent individuals ready to enter the laboratory workforce</w:t>
            </w:r>
            <w:r>
              <w:t>.</w:t>
            </w:r>
          </w:p>
          <w:p w14:paraId="21C5CE24" w14:textId="77777777" w:rsidR="009A520C" w:rsidRDefault="009A520C" w:rsidP="009A520C">
            <w:pPr>
              <w:rPr>
                <w:b/>
              </w:rPr>
            </w:pPr>
            <w:r>
              <w:rPr>
                <w:b/>
              </w:rPr>
              <w:t>College Action Priority #2</w:t>
            </w:r>
          </w:p>
          <w:p w14:paraId="5AA0476E" w14:textId="3C81FB84" w:rsidR="005B7891" w:rsidRPr="00544D74" w:rsidRDefault="009A520C" w:rsidP="009A520C">
            <w:r>
              <w:t>Increase transparency, visibility, and communication inside and outside the college.</w:t>
            </w:r>
          </w:p>
        </w:tc>
        <w:tc>
          <w:tcPr>
            <w:tcW w:w="1980" w:type="dxa"/>
          </w:tcPr>
          <w:p w14:paraId="3731C5EF" w14:textId="77777777" w:rsidR="005B7891" w:rsidRPr="005A01F0" w:rsidRDefault="005B7891" w:rsidP="005B7891">
            <w:r w:rsidRPr="005A01F0">
              <w:t xml:space="preserve">1. Maintain </w:t>
            </w:r>
            <w:r>
              <w:t>Clinical</w:t>
            </w:r>
            <w:r w:rsidRPr="005A01F0">
              <w:t xml:space="preserve"> affiliations with area hospitals and clinics.</w:t>
            </w:r>
          </w:p>
          <w:p w14:paraId="48601FDB" w14:textId="77777777" w:rsidR="005B7891" w:rsidRDefault="005B7891" w:rsidP="005B7891"/>
        </w:tc>
        <w:tc>
          <w:tcPr>
            <w:tcW w:w="1980" w:type="dxa"/>
          </w:tcPr>
          <w:p w14:paraId="0B832AA8" w14:textId="77777777" w:rsidR="005B7891" w:rsidRPr="005A01F0" w:rsidRDefault="005B7891" w:rsidP="005B7891">
            <w:r w:rsidRPr="005A01F0">
              <w:t xml:space="preserve">1. </w:t>
            </w:r>
            <w:r>
              <w:t>Clinical</w:t>
            </w:r>
            <w:r w:rsidRPr="005A01F0">
              <w:t xml:space="preserve"> agencies will be sufficient to provide enrolled students with diverse and plentiful opportunities.</w:t>
            </w:r>
          </w:p>
          <w:p w14:paraId="420837C9" w14:textId="77777777" w:rsidR="005B7891" w:rsidRPr="005A01F0" w:rsidRDefault="005B7891" w:rsidP="005B7891"/>
          <w:p w14:paraId="51D35532" w14:textId="5051022B" w:rsidR="005B7891" w:rsidRDefault="005B7891" w:rsidP="005B7891">
            <w:r w:rsidRPr="005A01F0">
              <w:t xml:space="preserve">2. Maintain </w:t>
            </w:r>
            <w:r>
              <w:t>Clinical</w:t>
            </w:r>
            <w:r w:rsidRPr="005A01F0">
              <w:t xml:space="preserve"> relationships</w:t>
            </w:r>
          </w:p>
        </w:tc>
        <w:tc>
          <w:tcPr>
            <w:tcW w:w="2970" w:type="dxa"/>
          </w:tcPr>
          <w:p w14:paraId="4ECD17E4" w14:textId="77777777" w:rsidR="005B7891" w:rsidRPr="005A01F0" w:rsidRDefault="005B7891" w:rsidP="005B7891">
            <w:r w:rsidRPr="005A01F0">
              <w:t xml:space="preserve">1. Faculty travel expenses </w:t>
            </w:r>
          </w:p>
          <w:p w14:paraId="49D6403B" w14:textId="2D1A71BA" w:rsidR="005B7891" w:rsidRDefault="005B7891" w:rsidP="005B7891">
            <w:r w:rsidRPr="005A01F0">
              <w:t xml:space="preserve">Estimated cost:  $1,500.00 </w:t>
            </w:r>
          </w:p>
        </w:tc>
      </w:tr>
    </w:tbl>
    <w:p w14:paraId="43AFCCE9" w14:textId="77777777" w:rsidR="00276781" w:rsidRDefault="00276781" w:rsidP="00BB4C08">
      <w:pPr>
        <w:rPr>
          <w:b/>
        </w:rPr>
      </w:pPr>
    </w:p>
    <w:p w14:paraId="400998C9" w14:textId="77777777" w:rsidR="005B7891" w:rsidRDefault="005B7891" w:rsidP="00BB4C08">
      <w:pPr>
        <w:rPr>
          <w:b/>
        </w:rPr>
      </w:pPr>
      <w:bookmarkStart w:id="2" w:name="_Hlk530394637"/>
    </w:p>
    <w:p w14:paraId="4A54EB7F" w14:textId="6A89B5A0" w:rsidR="00464A11" w:rsidRDefault="00124DB8" w:rsidP="00BB4C08">
      <w:pPr>
        <w:rPr>
          <w:b/>
        </w:rPr>
      </w:pPr>
      <w:r>
        <w:rPr>
          <w:b/>
        </w:rPr>
        <w:t>Unit Goals for 20</w:t>
      </w:r>
      <w:r w:rsidR="008D075D">
        <w:rPr>
          <w:b/>
        </w:rPr>
        <w:t>2</w:t>
      </w:r>
      <w:r w:rsidR="005B7891">
        <w:rPr>
          <w:b/>
        </w:rPr>
        <w:t>2</w:t>
      </w:r>
      <w:r>
        <w:rPr>
          <w:b/>
        </w:rPr>
        <w:t>-20</w:t>
      </w:r>
      <w:r w:rsidR="006C0ED2">
        <w:rPr>
          <w:b/>
        </w:rPr>
        <w:t>2</w:t>
      </w:r>
      <w:r w:rsidR="005B7891">
        <w:rPr>
          <w:b/>
        </w:rPr>
        <w:t>3</w:t>
      </w:r>
    </w:p>
    <w:tbl>
      <w:tblPr>
        <w:tblStyle w:val="TableGrid"/>
        <w:tblW w:w="10260" w:type="dxa"/>
        <w:tblInd w:w="-545" w:type="dxa"/>
        <w:tblLook w:val="04A0" w:firstRow="1" w:lastRow="0" w:firstColumn="1" w:lastColumn="0" w:noHBand="0" w:noVBand="1"/>
      </w:tblPr>
      <w:tblGrid>
        <w:gridCol w:w="3240"/>
        <w:gridCol w:w="1980"/>
        <w:gridCol w:w="1980"/>
        <w:gridCol w:w="3060"/>
      </w:tblGrid>
      <w:tr w:rsidR="00276781" w14:paraId="25CB430D" w14:textId="77777777" w:rsidTr="00BF284B">
        <w:tc>
          <w:tcPr>
            <w:tcW w:w="3240" w:type="dxa"/>
          </w:tcPr>
          <w:p w14:paraId="36DB53B5" w14:textId="77777777" w:rsidR="00276781" w:rsidRDefault="00276781" w:rsidP="00276781">
            <w:pPr>
              <w:rPr>
                <w:b/>
              </w:rPr>
            </w:pPr>
            <w:r>
              <w:rPr>
                <w:b/>
              </w:rPr>
              <w:t>Goal</w:t>
            </w:r>
          </w:p>
        </w:tc>
        <w:tc>
          <w:tcPr>
            <w:tcW w:w="1980" w:type="dxa"/>
          </w:tcPr>
          <w:p w14:paraId="1727282A" w14:textId="77777777" w:rsidR="00276781" w:rsidRDefault="00276781" w:rsidP="00276781">
            <w:pPr>
              <w:rPr>
                <w:b/>
              </w:rPr>
            </w:pPr>
            <w:r>
              <w:rPr>
                <w:b/>
              </w:rPr>
              <w:t>Objectives</w:t>
            </w:r>
          </w:p>
        </w:tc>
        <w:tc>
          <w:tcPr>
            <w:tcW w:w="1980" w:type="dxa"/>
          </w:tcPr>
          <w:p w14:paraId="543C8BD4" w14:textId="77777777" w:rsidR="00276781" w:rsidRDefault="00276781" w:rsidP="00276781">
            <w:pPr>
              <w:rPr>
                <w:b/>
              </w:rPr>
            </w:pPr>
            <w:r>
              <w:rPr>
                <w:b/>
              </w:rPr>
              <w:t>Method of Assessment</w:t>
            </w:r>
          </w:p>
        </w:tc>
        <w:tc>
          <w:tcPr>
            <w:tcW w:w="3060" w:type="dxa"/>
          </w:tcPr>
          <w:p w14:paraId="31CD232D" w14:textId="77777777" w:rsidR="00276781" w:rsidRDefault="00276781" w:rsidP="00276781">
            <w:pPr>
              <w:rPr>
                <w:b/>
              </w:rPr>
            </w:pPr>
            <w:r>
              <w:rPr>
                <w:b/>
              </w:rPr>
              <w:t>Additional Funding Requests</w:t>
            </w:r>
          </w:p>
        </w:tc>
      </w:tr>
      <w:tr w:rsidR="00276781" w:rsidRPr="004C37B5" w14:paraId="7CC24BDC" w14:textId="77777777" w:rsidTr="00BF284B">
        <w:tc>
          <w:tcPr>
            <w:tcW w:w="3240" w:type="dxa"/>
          </w:tcPr>
          <w:p w14:paraId="01D80B10" w14:textId="77777777" w:rsidR="00276781" w:rsidRPr="00FE6797" w:rsidRDefault="00276781" w:rsidP="00276781">
            <w:r>
              <w:t>Provide necessary equipment and reagents to teach entry level skills keeping abreast with new technology.</w:t>
            </w:r>
          </w:p>
          <w:p w14:paraId="7D0D3DB2" w14:textId="77777777" w:rsidR="007E7468" w:rsidRDefault="00276781" w:rsidP="00276781">
            <w:r w:rsidRPr="005F2E8E">
              <w:rPr>
                <w:b/>
              </w:rPr>
              <w:t xml:space="preserve">Program </w:t>
            </w:r>
            <w:r w:rsidRPr="007E7468">
              <w:rPr>
                <w:b/>
              </w:rPr>
              <w:t>Outcome</w:t>
            </w:r>
            <w:r w:rsidR="007E7468" w:rsidRPr="007E7468">
              <w:rPr>
                <w:b/>
              </w:rPr>
              <w:t xml:space="preserve"> </w:t>
            </w:r>
            <w:r w:rsidRPr="007E7468">
              <w:rPr>
                <w:b/>
              </w:rPr>
              <w:t>#1.</w:t>
            </w:r>
            <w:r>
              <w:t xml:space="preserve"> </w:t>
            </w:r>
          </w:p>
          <w:p w14:paraId="574886B1" w14:textId="105A8E2E" w:rsidR="00276781" w:rsidRPr="007E7468" w:rsidRDefault="00276781" w:rsidP="00276781">
            <w:pPr>
              <w:rPr>
                <w:b/>
              </w:rPr>
            </w:pPr>
            <w:r>
              <w:t>70% of students admitted to the MLT program will complete as technically competent individuals ready to enter the laboratory workforce</w:t>
            </w:r>
          </w:p>
          <w:p w14:paraId="54363338" w14:textId="77777777" w:rsidR="007E7468" w:rsidRPr="005B393B" w:rsidRDefault="007E7468" w:rsidP="007E7468">
            <w:pPr>
              <w:rPr>
                <w:b/>
                <w:bCs/>
              </w:rPr>
            </w:pPr>
            <w:r>
              <w:rPr>
                <w:b/>
                <w:bCs/>
              </w:rPr>
              <w:t xml:space="preserve">College </w:t>
            </w:r>
            <w:r w:rsidRPr="005B393B">
              <w:rPr>
                <w:b/>
                <w:bCs/>
              </w:rPr>
              <w:t>Action Priority 1</w:t>
            </w:r>
          </w:p>
          <w:p w14:paraId="3E57C70E" w14:textId="77777777" w:rsidR="007E7468" w:rsidRDefault="007E7468" w:rsidP="007E7468">
            <w:r w:rsidRPr="005B393B">
              <w:t>Improve and advance college programs and units, including both academic and workforce development efforts</w:t>
            </w:r>
            <w:r>
              <w:t>.</w:t>
            </w:r>
          </w:p>
          <w:p w14:paraId="487C4A83" w14:textId="77777777" w:rsidR="007E7468" w:rsidRDefault="007E7468" w:rsidP="007E7468">
            <w:pPr>
              <w:rPr>
                <w:b/>
                <w:bCs/>
              </w:rPr>
            </w:pPr>
            <w:r w:rsidRPr="00C663E6">
              <w:rPr>
                <w:b/>
                <w:bCs/>
              </w:rPr>
              <w:t>Long-Range Goal</w:t>
            </w:r>
            <w:r>
              <w:rPr>
                <w:b/>
                <w:bCs/>
              </w:rPr>
              <w:t xml:space="preserve"> </w:t>
            </w:r>
            <w:r w:rsidRPr="00C663E6">
              <w:rPr>
                <w:b/>
                <w:bCs/>
              </w:rPr>
              <w:t>3.</w:t>
            </w:r>
            <w:r>
              <w:rPr>
                <w:b/>
                <w:bCs/>
              </w:rPr>
              <w:t>2</w:t>
            </w:r>
          </w:p>
          <w:p w14:paraId="1464121D" w14:textId="6343690A" w:rsidR="00276781" w:rsidRPr="005F2E8E" w:rsidRDefault="007E7468" w:rsidP="007E7468">
            <w:pPr>
              <w:rPr>
                <w:b/>
              </w:rPr>
            </w:pPr>
            <w:r>
              <w:t>Physical facilities, technological resources and other resources that promote learning</w:t>
            </w:r>
          </w:p>
        </w:tc>
        <w:tc>
          <w:tcPr>
            <w:tcW w:w="1980" w:type="dxa"/>
          </w:tcPr>
          <w:p w14:paraId="5E17A5E5" w14:textId="77777777" w:rsidR="00276781" w:rsidRDefault="00276781" w:rsidP="00276781">
            <w:r>
              <w:t xml:space="preserve">1. Purchase the necessary equipment and supplies to provide high quality campus laboratory experiences. </w:t>
            </w:r>
          </w:p>
          <w:p w14:paraId="4C442758" w14:textId="77777777" w:rsidR="00276781" w:rsidRDefault="00276781" w:rsidP="00276781"/>
          <w:p w14:paraId="6DA63D0C" w14:textId="77777777" w:rsidR="00276781" w:rsidRDefault="00276781" w:rsidP="00276781">
            <w:r>
              <w:t>2. Maintain MLT equipment.</w:t>
            </w:r>
          </w:p>
          <w:p w14:paraId="1D80ECA6" w14:textId="77777777" w:rsidR="00276781" w:rsidRDefault="00276781" w:rsidP="00276781"/>
          <w:p w14:paraId="7603565F" w14:textId="102D4604" w:rsidR="00276781" w:rsidRPr="004C37B5" w:rsidRDefault="00276781" w:rsidP="00276781"/>
        </w:tc>
        <w:tc>
          <w:tcPr>
            <w:tcW w:w="1980" w:type="dxa"/>
          </w:tcPr>
          <w:p w14:paraId="791571F2" w14:textId="77777777" w:rsidR="00276781" w:rsidRDefault="00276781" w:rsidP="00276781">
            <w:r>
              <w:t>1. 80% or more of the faculty report satisfaction with available technology resources.</w:t>
            </w:r>
          </w:p>
          <w:p w14:paraId="46C13F6F" w14:textId="77777777" w:rsidR="00276781" w:rsidRPr="004C37B5" w:rsidRDefault="00276781" w:rsidP="00276781">
            <w:r>
              <w:t>2. 80% or more of students report satisfaction with available resources</w:t>
            </w:r>
          </w:p>
        </w:tc>
        <w:tc>
          <w:tcPr>
            <w:tcW w:w="3060" w:type="dxa"/>
          </w:tcPr>
          <w:p w14:paraId="7EAB5C2A" w14:textId="1374DB6F" w:rsidR="00276781" w:rsidRDefault="00276781" w:rsidP="00276781">
            <w:pPr>
              <w:ind w:left="-108"/>
            </w:pPr>
            <w:r>
              <w:t>1</w:t>
            </w:r>
            <w:r w:rsidR="00025113">
              <w:t>a</w:t>
            </w:r>
            <w:r>
              <w:t xml:space="preserve">. Maintain </w:t>
            </w:r>
            <w:r w:rsidR="006A23BF">
              <w:t xml:space="preserve">consumable </w:t>
            </w:r>
            <w:r>
              <w:t>supply budget</w:t>
            </w:r>
          </w:p>
          <w:p w14:paraId="0EFBA51B" w14:textId="1763325E" w:rsidR="00276781" w:rsidRDefault="00276781" w:rsidP="00276781">
            <w:pPr>
              <w:ind w:left="-108"/>
              <w:rPr>
                <w:rFonts w:eastAsiaTheme="minorEastAsia"/>
                <w:sz w:val="24"/>
                <w:szCs w:val="24"/>
              </w:rPr>
            </w:pPr>
            <w:r>
              <w:t>$</w:t>
            </w:r>
            <w:r w:rsidR="000F34DA">
              <w:t>35</w:t>
            </w:r>
            <w:r>
              <w:t xml:space="preserve">,000.00 </w:t>
            </w:r>
          </w:p>
          <w:p w14:paraId="66F9BB5F" w14:textId="243DB0D9" w:rsidR="00276781" w:rsidRDefault="00025113" w:rsidP="00276781">
            <w:pPr>
              <w:ind w:left="-108"/>
              <w:rPr>
                <w:rFonts w:eastAsiaTheme="minorEastAsia"/>
                <w:sz w:val="24"/>
                <w:szCs w:val="24"/>
              </w:rPr>
            </w:pPr>
            <w:r>
              <w:rPr>
                <w:rFonts w:eastAsiaTheme="minorEastAsia"/>
                <w:sz w:val="24"/>
                <w:szCs w:val="24"/>
              </w:rPr>
              <w:t xml:space="preserve">1b. </w:t>
            </w:r>
            <w:r w:rsidR="000F34DA">
              <w:rPr>
                <w:rFonts w:eastAsiaTheme="minorEastAsia"/>
                <w:sz w:val="24"/>
                <w:szCs w:val="24"/>
              </w:rPr>
              <w:t>Osmometer</w:t>
            </w:r>
            <w:r w:rsidR="006A23BF">
              <w:rPr>
                <w:rFonts w:eastAsiaTheme="minorEastAsia"/>
                <w:sz w:val="24"/>
                <w:szCs w:val="24"/>
              </w:rPr>
              <w:t xml:space="preserve"> $20,000.00</w:t>
            </w:r>
          </w:p>
          <w:p w14:paraId="0320A0B8" w14:textId="2AC383EE" w:rsidR="000F34DA" w:rsidRDefault="000F34DA" w:rsidP="00276781">
            <w:pPr>
              <w:ind w:left="-108"/>
              <w:rPr>
                <w:rFonts w:eastAsiaTheme="minorEastAsia"/>
                <w:sz w:val="24"/>
                <w:szCs w:val="24"/>
              </w:rPr>
            </w:pPr>
            <w:r>
              <w:rPr>
                <w:rFonts w:eastAsiaTheme="minorEastAsia"/>
                <w:sz w:val="24"/>
                <w:szCs w:val="24"/>
              </w:rPr>
              <w:t xml:space="preserve">1c. Molecular </w:t>
            </w:r>
            <w:r w:rsidR="006A23BF">
              <w:rPr>
                <w:rFonts w:eastAsiaTheme="minorEastAsia"/>
                <w:sz w:val="24"/>
                <w:szCs w:val="24"/>
              </w:rPr>
              <w:t xml:space="preserve">platform </w:t>
            </w:r>
            <w:r>
              <w:rPr>
                <w:rFonts w:eastAsiaTheme="minorEastAsia"/>
                <w:sz w:val="24"/>
                <w:szCs w:val="24"/>
              </w:rPr>
              <w:t xml:space="preserve">analyzer </w:t>
            </w:r>
            <w:r w:rsidR="006A23BF">
              <w:rPr>
                <w:rFonts w:eastAsiaTheme="minorEastAsia"/>
                <w:sz w:val="24"/>
                <w:szCs w:val="24"/>
              </w:rPr>
              <w:t>$20,000.00</w:t>
            </w:r>
          </w:p>
          <w:p w14:paraId="15961F0E" w14:textId="0021F15C" w:rsidR="00276781" w:rsidRDefault="00276781" w:rsidP="00276781">
            <w:pPr>
              <w:ind w:left="-108"/>
              <w:rPr>
                <w:rFonts w:eastAsiaTheme="minorEastAsia"/>
                <w:sz w:val="24"/>
                <w:szCs w:val="24"/>
              </w:rPr>
            </w:pPr>
            <w:r>
              <w:rPr>
                <w:rFonts w:eastAsiaTheme="minorEastAsia"/>
                <w:sz w:val="24"/>
                <w:szCs w:val="24"/>
              </w:rPr>
              <w:t>2. a. Microscope Cleaning 27 microscopes approx. $1500.00</w:t>
            </w:r>
          </w:p>
          <w:p w14:paraId="3134F871" w14:textId="582BCC5C" w:rsidR="00025113" w:rsidRDefault="00025113" w:rsidP="00276781">
            <w:pPr>
              <w:ind w:left="-108"/>
              <w:rPr>
                <w:rFonts w:eastAsiaTheme="minorEastAsia"/>
                <w:sz w:val="24"/>
                <w:szCs w:val="24"/>
              </w:rPr>
            </w:pPr>
          </w:p>
          <w:p w14:paraId="234BCE53" w14:textId="77777777" w:rsidR="00025113" w:rsidRDefault="00025113" w:rsidP="00276781">
            <w:pPr>
              <w:ind w:left="-108"/>
              <w:rPr>
                <w:rFonts w:eastAsiaTheme="minorEastAsia"/>
                <w:sz w:val="24"/>
                <w:szCs w:val="24"/>
              </w:rPr>
            </w:pPr>
          </w:p>
          <w:p w14:paraId="344D9776" w14:textId="109A72A8" w:rsidR="00256D08" w:rsidRDefault="00256D08" w:rsidP="00276781">
            <w:pPr>
              <w:pStyle w:val="ListParagraph"/>
              <w:ind w:left="0"/>
              <w:rPr>
                <w:rFonts w:eastAsiaTheme="minorEastAsia"/>
                <w:sz w:val="24"/>
                <w:szCs w:val="24"/>
              </w:rPr>
            </w:pPr>
          </w:p>
          <w:p w14:paraId="1FB84F2E" w14:textId="77777777" w:rsidR="00276781" w:rsidRPr="004C37B5" w:rsidRDefault="00276781" w:rsidP="00276781">
            <w:pPr>
              <w:pStyle w:val="ListParagraph"/>
              <w:ind w:left="0"/>
            </w:pPr>
          </w:p>
        </w:tc>
      </w:tr>
      <w:tr w:rsidR="00276781" w14:paraId="41B04DE8" w14:textId="77777777" w:rsidTr="00BF284B">
        <w:tc>
          <w:tcPr>
            <w:tcW w:w="3240" w:type="dxa"/>
          </w:tcPr>
          <w:p w14:paraId="07F9294A" w14:textId="77777777" w:rsidR="00276781" w:rsidRDefault="00276781" w:rsidP="00276781">
            <w:r w:rsidRPr="00FE6797">
              <w:t>Monitor student progress</w:t>
            </w:r>
            <w:r>
              <w:t xml:space="preserve"> with online tools that will enhance competency within the curriculum.</w:t>
            </w:r>
          </w:p>
          <w:p w14:paraId="231E9A7B" w14:textId="6819314E" w:rsidR="00100BDD" w:rsidRPr="00100BDD" w:rsidRDefault="00276781" w:rsidP="00276781">
            <w:pPr>
              <w:rPr>
                <w:b/>
              </w:rPr>
            </w:pPr>
            <w:r w:rsidRPr="00D92E19">
              <w:rPr>
                <w:b/>
              </w:rPr>
              <w:t>Progr</w:t>
            </w:r>
            <w:r w:rsidRPr="00100BDD">
              <w:rPr>
                <w:b/>
              </w:rPr>
              <w:t>am Outcome</w:t>
            </w:r>
            <w:r w:rsidR="00100BDD" w:rsidRPr="00100BDD">
              <w:rPr>
                <w:b/>
              </w:rPr>
              <w:t xml:space="preserve"> </w:t>
            </w:r>
            <w:r w:rsidRPr="00100BDD">
              <w:rPr>
                <w:b/>
              </w:rPr>
              <w:t>#2</w:t>
            </w:r>
          </w:p>
          <w:p w14:paraId="6F4E6F99" w14:textId="77777777" w:rsidR="00276781" w:rsidRDefault="00276781" w:rsidP="00276781">
            <w:r>
              <w:lastRenderedPageBreak/>
              <w:t>Graduates will take the ASCP BOC national certification exam with a pass rate at or above the NAACLS benchmark of 75%</w:t>
            </w:r>
          </w:p>
          <w:p w14:paraId="2F1C29EF" w14:textId="77777777" w:rsidR="00100BDD" w:rsidRDefault="00100BDD" w:rsidP="00100BDD">
            <w:pPr>
              <w:rPr>
                <w:b/>
                <w:bCs/>
              </w:rPr>
            </w:pPr>
            <w:r w:rsidRPr="002F1C49">
              <w:rPr>
                <w:b/>
                <w:bCs/>
              </w:rPr>
              <w:t>Long-Range Goal 2.2</w:t>
            </w:r>
          </w:p>
          <w:p w14:paraId="478D0F00" w14:textId="66817849" w:rsidR="00100BDD" w:rsidRPr="00100BDD" w:rsidRDefault="00100BDD" w:rsidP="00100BDD">
            <w:pPr>
              <w:rPr>
                <w:b/>
              </w:rPr>
            </w:pPr>
            <w:r w:rsidRPr="007B4B43">
              <w:t>Career and Professional associate degree programs that integrate general and career specific education and prepare students for immediate employment.</w:t>
            </w:r>
          </w:p>
        </w:tc>
        <w:tc>
          <w:tcPr>
            <w:tcW w:w="1980" w:type="dxa"/>
          </w:tcPr>
          <w:p w14:paraId="098542F4" w14:textId="77777777" w:rsidR="00276781" w:rsidRDefault="00276781" w:rsidP="00276781">
            <w:r>
              <w:lastRenderedPageBreak/>
              <w:t>1. To increase the number of students passing a national certification exam</w:t>
            </w:r>
          </w:p>
          <w:p w14:paraId="586636D9" w14:textId="77777777" w:rsidR="00276781" w:rsidRDefault="00276781" w:rsidP="00276781"/>
          <w:p w14:paraId="6453031D" w14:textId="77777777" w:rsidR="00276781" w:rsidRDefault="00276781" w:rsidP="00276781"/>
          <w:p w14:paraId="5FAB5908" w14:textId="77777777" w:rsidR="00276781" w:rsidRDefault="00276781" w:rsidP="00276781"/>
          <w:p w14:paraId="4B837E84" w14:textId="77777777" w:rsidR="00276781" w:rsidRDefault="00276781" w:rsidP="00276781"/>
          <w:p w14:paraId="0E997C67" w14:textId="77777777" w:rsidR="00276781" w:rsidRDefault="00276781" w:rsidP="00276781"/>
          <w:p w14:paraId="314624DB" w14:textId="77777777" w:rsidR="00276781" w:rsidRDefault="00276781" w:rsidP="00276781"/>
          <w:p w14:paraId="6B00AA31" w14:textId="77777777" w:rsidR="00276781" w:rsidRDefault="00276781" w:rsidP="00276781"/>
        </w:tc>
        <w:tc>
          <w:tcPr>
            <w:tcW w:w="1980" w:type="dxa"/>
          </w:tcPr>
          <w:p w14:paraId="138E0254" w14:textId="77777777" w:rsidR="00276781" w:rsidRPr="001F08BD" w:rsidRDefault="00276781" w:rsidP="00276781">
            <w:r w:rsidRPr="001F08BD">
              <w:lastRenderedPageBreak/>
              <w:t>1. ASCP BOC certification statistics at or above the NAACLS benchmark of 75%</w:t>
            </w:r>
          </w:p>
          <w:p w14:paraId="49FC12FA" w14:textId="77777777" w:rsidR="00276781" w:rsidRPr="001F08BD" w:rsidRDefault="00276781" w:rsidP="00276781"/>
          <w:p w14:paraId="6670DF14" w14:textId="77777777" w:rsidR="00276781" w:rsidRPr="00D92E19" w:rsidRDefault="00276781" w:rsidP="00276781">
            <w:pPr>
              <w:rPr>
                <w:i/>
              </w:rPr>
            </w:pPr>
          </w:p>
          <w:p w14:paraId="132AEF70" w14:textId="77777777" w:rsidR="00276781" w:rsidRPr="00D92E19" w:rsidRDefault="00276781" w:rsidP="00276781">
            <w:pPr>
              <w:rPr>
                <w:i/>
              </w:rPr>
            </w:pPr>
          </w:p>
          <w:p w14:paraId="7130681D" w14:textId="77777777" w:rsidR="00276781" w:rsidRPr="00D92E19" w:rsidRDefault="00276781" w:rsidP="00276781">
            <w:pPr>
              <w:rPr>
                <w:i/>
              </w:rPr>
            </w:pPr>
          </w:p>
          <w:p w14:paraId="691704DD" w14:textId="77777777" w:rsidR="00276781" w:rsidRPr="00D92E19" w:rsidRDefault="00276781" w:rsidP="00276781">
            <w:pPr>
              <w:rPr>
                <w:i/>
              </w:rPr>
            </w:pPr>
          </w:p>
          <w:p w14:paraId="33227484" w14:textId="77777777" w:rsidR="00276781" w:rsidRPr="00D92E19" w:rsidRDefault="00276781" w:rsidP="00276781">
            <w:pPr>
              <w:rPr>
                <w:i/>
              </w:rPr>
            </w:pPr>
          </w:p>
        </w:tc>
        <w:tc>
          <w:tcPr>
            <w:tcW w:w="3060" w:type="dxa"/>
          </w:tcPr>
          <w:p w14:paraId="24233253" w14:textId="77777777" w:rsidR="00933E60" w:rsidRPr="00933E60" w:rsidRDefault="00933E60" w:rsidP="00933E60">
            <w:r w:rsidRPr="00933E60">
              <w:lastRenderedPageBreak/>
              <w:t xml:space="preserve">1. ASCP BOC testing report </w:t>
            </w:r>
          </w:p>
          <w:p w14:paraId="754E59EA" w14:textId="77777777" w:rsidR="00933E60" w:rsidRPr="00933E60" w:rsidRDefault="00933E60" w:rsidP="00933E60">
            <w:r w:rsidRPr="00933E60">
              <w:t xml:space="preserve">Cost:  $150.00 per year. </w:t>
            </w:r>
          </w:p>
          <w:p w14:paraId="59DC55F3" w14:textId="77777777" w:rsidR="00933E60" w:rsidRPr="00933E60" w:rsidRDefault="00933E60" w:rsidP="00933E60">
            <w:r w:rsidRPr="00933E60">
              <w:t xml:space="preserve">2. Medtraining training subscription </w:t>
            </w:r>
          </w:p>
          <w:p w14:paraId="7707AA05" w14:textId="609F6B7D" w:rsidR="000F34DA" w:rsidRPr="00933E60" w:rsidRDefault="00933E60" w:rsidP="00933E60">
            <w:r w:rsidRPr="00933E60">
              <w:t>Cost: $1,39</w:t>
            </w:r>
            <w:r w:rsidR="000777F3">
              <w:t>5</w:t>
            </w:r>
            <w:r w:rsidRPr="00933E60">
              <w:t>.00 yearly</w:t>
            </w:r>
          </w:p>
          <w:p w14:paraId="71F6A8BD" w14:textId="4E18769B" w:rsidR="00933E60" w:rsidRDefault="00933E60" w:rsidP="00933E60">
            <w:r w:rsidRPr="00933E60">
              <w:lastRenderedPageBreak/>
              <w:t>3. NAACLS Accreditation yearly fees $2</w:t>
            </w:r>
            <w:r w:rsidR="000777F3">
              <w:t>692</w:t>
            </w:r>
            <w:r w:rsidRPr="00933E60">
              <w:t>.00</w:t>
            </w:r>
          </w:p>
          <w:p w14:paraId="3D2B7B28" w14:textId="5047E897" w:rsidR="000F34DA" w:rsidRPr="00933E60" w:rsidRDefault="000F34DA" w:rsidP="00933E60">
            <w:r>
              <w:t>4. BOC interactive Practice Exams $16</w:t>
            </w:r>
            <w:r w:rsidR="000777F3">
              <w:t>00.00</w:t>
            </w:r>
          </w:p>
          <w:p w14:paraId="31FC936B" w14:textId="68285545" w:rsidR="00276781" w:rsidRDefault="00933E60" w:rsidP="00933E60">
            <w:r w:rsidRPr="00933E60">
              <w:t>4. Orchard Software</w:t>
            </w:r>
            <w:r>
              <w:t xml:space="preserve"> </w:t>
            </w:r>
            <w:r w:rsidR="006D7E0D">
              <w:t xml:space="preserve">license </w:t>
            </w:r>
            <w:r w:rsidR="000777F3">
              <w:t>3</w:t>
            </w:r>
            <w:r w:rsidR="00C860B8">
              <w:t>055.39</w:t>
            </w:r>
          </w:p>
        </w:tc>
      </w:tr>
      <w:tr w:rsidR="00276781" w14:paraId="21A35A93" w14:textId="77777777" w:rsidTr="00BF284B">
        <w:tc>
          <w:tcPr>
            <w:tcW w:w="3240" w:type="dxa"/>
          </w:tcPr>
          <w:p w14:paraId="23A9958D" w14:textId="77777777" w:rsidR="00276781" w:rsidRDefault="00276781" w:rsidP="00276781">
            <w:r>
              <w:lastRenderedPageBreak/>
              <w:t>Keep abreast of changes and trends in the Laboratory Science profession to improve classroom instruction.</w:t>
            </w:r>
          </w:p>
          <w:p w14:paraId="3BDAF4A6" w14:textId="77777777" w:rsidR="00276781" w:rsidRDefault="00276781" w:rsidP="00276781">
            <w:pPr>
              <w:rPr>
                <w:rFonts w:eastAsia="Times New Roman" w:cs="Arial"/>
              </w:rPr>
            </w:pPr>
            <w:r w:rsidRPr="00D87587">
              <w:rPr>
                <w:b/>
              </w:rPr>
              <w:t>NAACLS Standard</w:t>
            </w:r>
            <w:r>
              <w:rPr>
                <w:b/>
              </w:rPr>
              <w:t>s</w:t>
            </w:r>
            <w:r>
              <w:t xml:space="preserve"> </w:t>
            </w:r>
            <w:r w:rsidRPr="00D87587">
              <w:rPr>
                <w:rFonts w:eastAsia="Times New Roman" w:cs="Arial"/>
              </w:rPr>
              <w:t xml:space="preserve">NAACLS standard VII.A.2.C. </w:t>
            </w:r>
            <w:r w:rsidRPr="00D87587">
              <w:rPr>
                <w:rFonts w:eastAsia="Times New Roman" w:cs="Arial"/>
                <w:b/>
              </w:rPr>
              <w:t>The program coordinator</w:t>
            </w:r>
            <w:r>
              <w:rPr>
                <w:rFonts w:eastAsia="Times New Roman" w:cs="Arial"/>
              </w:rPr>
              <w:t xml:space="preserve"> must show</w:t>
            </w:r>
          </w:p>
          <w:p w14:paraId="59E86782" w14:textId="77777777" w:rsidR="00276781" w:rsidRPr="00D87587" w:rsidRDefault="00276781" w:rsidP="00276781">
            <w:r w:rsidRPr="00D87587">
              <w:rPr>
                <w:rFonts w:eastAsia="Times New Roman" w:cs="Arial"/>
              </w:rPr>
              <w:t>documentation of 36 CEU hours over each 3</w:t>
            </w:r>
            <w:r>
              <w:rPr>
                <w:rFonts w:eastAsia="Times New Roman" w:cs="Arial"/>
              </w:rPr>
              <w:t>-</w:t>
            </w:r>
            <w:r w:rsidRPr="00D87587">
              <w:rPr>
                <w:rFonts w:eastAsia="Times New Roman" w:cs="Arial"/>
              </w:rPr>
              <w:t xml:space="preserve">year period. </w:t>
            </w:r>
          </w:p>
          <w:p w14:paraId="43D7D2F3" w14:textId="77777777" w:rsidR="00276781" w:rsidRPr="00D87587" w:rsidRDefault="00276781" w:rsidP="00276781">
            <w:pPr>
              <w:pStyle w:val="Default"/>
              <w:rPr>
                <w:rFonts w:asciiTheme="minorHAnsi" w:hAnsiTheme="minorHAnsi"/>
                <w:sz w:val="22"/>
                <w:szCs w:val="22"/>
              </w:rPr>
            </w:pPr>
            <w:r>
              <w:rPr>
                <w:rFonts w:asciiTheme="minorHAnsi" w:hAnsiTheme="minorHAnsi"/>
                <w:sz w:val="22"/>
                <w:szCs w:val="22"/>
              </w:rPr>
              <w:t>Standard VII.2.c.</w:t>
            </w:r>
          </w:p>
          <w:p w14:paraId="49C47D42" w14:textId="77777777" w:rsidR="00276781" w:rsidRPr="00D87587" w:rsidRDefault="00276781" w:rsidP="00276781">
            <w:pPr>
              <w:pStyle w:val="Default"/>
              <w:rPr>
                <w:rFonts w:asciiTheme="minorHAnsi" w:hAnsiTheme="minorHAnsi"/>
                <w:b/>
                <w:sz w:val="22"/>
                <w:szCs w:val="22"/>
              </w:rPr>
            </w:pPr>
            <w:r w:rsidRPr="00D87587">
              <w:rPr>
                <w:rFonts w:asciiTheme="minorHAnsi" w:hAnsiTheme="minorHAnsi"/>
                <w:b/>
                <w:sz w:val="22"/>
                <w:szCs w:val="22"/>
              </w:rPr>
              <w:t>Di</w:t>
            </w:r>
            <w:r>
              <w:rPr>
                <w:rFonts w:asciiTheme="minorHAnsi" w:hAnsiTheme="minorHAnsi"/>
                <w:b/>
                <w:sz w:val="22"/>
                <w:szCs w:val="22"/>
              </w:rPr>
              <w:t xml:space="preserve">dactic Instructor Appointments </w:t>
            </w:r>
          </w:p>
          <w:p w14:paraId="120623AC" w14:textId="77777777" w:rsidR="00276781" w:rsidRDefault="00276781" w:rsidP="00276781">
            <w:r w:rsidRPr="00D87587">
              <w:t>The program must have qualified faculty/instructors</w:t>
            </w:r>
            <w:r>
              <w:t>.</w:t>
            </w:r>
            <w:r w:rsidRPr="00D87587">
              <w:t xml:space="preserve">  The program must ensure and document ongoing professional development of th</w:t>
            </w:r>
            <w:r>
              <w:t>e program faculty/instructors.</w:t>
            </w:r>
          </w:p>
          <w:p w14:paraId="40121662" w14:textId="77777777" w:rsidR="00100BDD" w:rsidRPr="005B393B" w:rsidRDefault="00100BDD" w:rsidP="00100BDD">
            <w:pPr>
              <w:rPr>
                <w:b/>
                <w:bCs/>
              </w:rPr>
            </w:pPr>
            <w:r>
              <w:rPr>
                <w:b/>
                <w:bCs/>
              </w:rPr>
              <w:t xml:space="preserve">College </w:t>
            </w:r>
            <w:r w:rsidRPr="005B393B">
              <w:rPr>
                <w:b/>
                <w:bCs/>
              </w:rPr>
              <w:t>Action Priority 1</w:t>
            </w:r>
          </w:p>
          <w:p w14:paraId="10F18D5D" w14:textId="77777777" w:rsidR="00100BDD" w:rsidRDefault="00100BDD" w:rsidP="00100BDD">
            <w:r w:rsidRPr="005B393B">
              <w:t>Improve and advance college programs and units, including both academic and workforce development efforts</w:t>
            </w:r>
            <w:r>
              <w:t>.</w:t>
            </w:r>
          </w:p>
          <w:p w14:paraId="1DC8E182" w14:textId="77777777" w:rsidR="00100BDD" w:rsidRDefault="00100BDD" w:rsidP="00100BDD">
            <w:pPr>
              <w:rPr>
                <w:b/>
                <w:bCs/>
              </w:rPr>
            </w:pPr>
            <w:r w:rsidRPr="00021E49">
              <w:rPr>
                <w:b/>
                <w:bCs/>
              </w:rPr>
              <w:t>Long-Range Goal 4.2</w:t>
            </w:r>
          </w:p>
          <w:p w14:paraId="7AB2F48F" w14:textId="3E7FFEF6" w:rsidR="00276781" w:rsidRPr="00544D74" w:rsidRDefault="00100BDD" w:rsidP="00100BDD">
            <w:r>
              <w:t>Professional development experiences that enable personnel to maintain currency in their respective files, increase their awareness and use of alternative methods of meeting the needs of a diverse student population, and develop innovative approaches to fulfilling their roles in the institution.</w:t>
            </w:r>
          </w:p>
        </w:tc>
        <w:tc>
          <w:tcPr>
            <w:tcW w:w="1980" w:type="dxa"/>
          </w:tcPr>
          <w:p w14:paraId="3E5D1D2B" w14:textId="77777777" w:rsidR="00276781" w:rsidRPr="00D92E19" w:rsidRDefault="00276781" w:rsidP="00276781">
            <w:r>
              <w:t>1. Provide the MLT full-time faculty the opportunity to obtain professional development.</w:t>
            </w:r>
          </w:p>
        </w:tc>
        <w:tc>
          <w:tcPr>
            <w:tcW w:w="1980" w:type="dxa"/>
          </w:tcPr>
          <w:p w14:paraId="1534C0FB" w14:textId="77777777" w:rsidR="00276781" w:rsidRPr="00D92E19" w:rsidRDefault="00276781" w:rsidP="00276781">
            <w:r w:rsidRPr="00D92E19">
              <w:t>1. Meets NAACLS continuing education standards for accreditation</w:t>
            </w:r>
          </w:p>
        </w:tc>
        <w:tc>
          <w:tcPr>
            <w:tcW w:w="3060" w:type="dxa"/>
          </w:tcPr>
          <w:p w14:paraId="23DC262A" w14:textId="77777777" w:rsidR="00276781" w:rsidRDefault="00276781" w:rsidP="00276781">
            <w:r>
              <w:t xml:space="preserve">1. Program Coordinator or Clinical Coordinator to attend </w:t>
            </w:r>
            <w:r w:rsidRPr="006E4A65">
              <w:t>CLEC</w:t>
            </w:r>
            <w:r>
              <w:t>.</w:t>
            </w:r>
            <w:r w:rsidRPr="006E4A65">
              <w:t xml:space="preserve"> </w:t>
            </w:r>
            <w:r>
              <w:t>Site to be determined.</w:t>
            </w:r>
          </w:p>
          <w:p w14:paraId="4FB0EFF3" w14:textId="77777777" w:rsidR="00276781" w:rsidRDefault="00276781" w:rsidP="00276781">
            <w:r w:rsidRPr="006E4A65">
              <w:t xml:space="preserve">Estimated cost of </w:t>
            </w:r>
            <w:r>
              <w:t>$1,700.00</w:t>
            </w:r>
          </w:p>
          <w:p w14:paraId="51F21D2F" w14:textId="77777777" w:rsidR="00276781" w:rsidRDefault="00276781" w:rsidP="00276781">
            <w:r>
              <w:t>2. Program Coordinator or Clinical Coordinator</w:t>
            </w:r>
          </w:p>
          <w:p w14:paraId="50568118" w14:textId="77777777" w:rsidR="00276781" w:rsidRDefault="00276781" w:rsidP="00276781">
            <w:r>
              <w:t>To attend CEU offering not to exceed $500.00 for IAP</w:t>
            </w:r>
          </w:p>
        </w:tc>
      </w:tr>
      <w:tr w:rsidR="00276781" w14:paraId="412C2112" w14:textId="77777777" w:rsidTr="00BF284B">
        <w:tc>
          <w:tcPr>
            <w:tcW w:w="3240" w:type="dxa"/>
          </w:tcPr>
          <w:p w14:paraId="12D67F9D" w14:textId="77777777" w:rsidR="00276781" w:rsidRPr="00725514" w:rsidRDefault="00276781" w:rsidP="00276781">
            <w:r w:rsidRPr="00725514">
              <w:t xml:space="preserve">Continue to develop and implement written Student Learning Outcomes (SLOs) for all </w:t>
            </w:r>
            <w:r w:rsidRPr="00725514">
              <w:lastRenderedPageBreak/>
              <w:t>courses in the department to more adequately document and enhance reporting of student progress in the department.</w:t>
            </w:r>
          </w:p>
          <w:p w14:paraId="0033F89E" w14:textId="77777777" w:rsidR="00100BDD" w:rsidRPr="00100BDD" w:rsidRDefault="00276781" w:rsidP="00276781">
            <w:pPr>
              <w:rPr>
                <w:b/>
              </w:rPr>
            </w:pPr>
            <w:r w:rsidRPr="00100BDD">
              <w:rPr>
                <w:b/>
              </w:rPr>
              <w:t>Program Outcome</w:t>
            </w:r>
            <w:r w:rsidR="00100BDD" w:rsidRPr="00100BDD">
              <w:rPr>
                <w:b/>
              </w:rPr>
              <w:t xml:space="preserve"> </w:t>
            </w:r>
            <w:r w:rsidRPr="00100BDD">
              <w:rPr>
                <w:b/>
              </w:rPr>
              <w:t>#4</w:t>
            </w:r>
            <w:r w:rsidR="00100BDD" w:rsidRPr="00100BDD">
              <w:rPr>
                <w:b/>
              </w:rPr>
              <w:t xml:space="preserve"> </w:t>
            </w:r>
          </w:p>
          <w:p w14:paraId="3B6676B0" w14:textId="18729E6A" w:rsidR="00276781" w:rsidRPr="00100BDD" w:rsidRDefault="00276781" w:rsidP="00276781">
            <w:pPr>
              <w:rPr>
                <w:b/>
              </w:rPr>
            </w:pPr>
            <w:r w:rsidRPr="007B149C">
              <w:t>Employers and graduates returning surveys will report 85% satisfaction with educational preparation</w:t>
            </w:r>
          </w:p>
          <w:p w14:paraId="64E40BA3" w14:textId="6A51D4A7" w:rsidR="00276781" w:rsidRDefault="00276781" w:rsidP="00276781">
            <w:pPr>
              <w:rPr>
                <w:b/>
              </w:rPr>
            </w:pPr>
            <w:r>
              <w:rPr>
                <w:b/>
              </w:rPr>
              <w:t>College Action Priority #</w:t>
            </w:r>
            <w:r w:rsidR="00100BDD">
              <w:rPr>
                <w:b/>
              </w:rPr>
              <w:t>2</w:t>
            </w:r>
          </w:p>
          <w:p w14:paraId="1B9F53EB" w14:textId="77777777" w:rsidR="00276781" w:rsidRPr="00544D74" w:rsidRDefault="00276781" w:rsidP="00276781">
            <w:r>
              <w:t>Increase visibility and promote communication both inside and outside of the college</w:t>
            </w:r>
          </w:p>
        </w:tc>
        <w:tc>
          <w:tcPr>
            <w:tcW w:w="1980" w:type="dxa"/>
          </w:tcPr>
          <w:p w14:paraId="4A6320D5" w14:textId="77777777" w:rsidR="00276781" w:rsidRDefault="00276781" w:rsidP="00276781">
            <w:r>
              <w:lastRenderedPageBreak/>
              <w:t xml:space="preserve">1. Review SLOs annually and revise as necessary based </w:t>
            </w:r>
            <w:r>
              <w:lastRenderedPageBreak/>
              <w:t>upon input from faculty, graduates, employers, and advisory committee members.</w:t>
            </w:r>
          </w:p>
          <w:p w14:paraId="57EF69A3" w14:textId="77777777" w:rsidR="00276781" w:rsidRDefault="00276781" w:rsidP="00276781"/>
        </w:tc>
        <w:tc>
          <w:tcPr>
            <w:tcW w:w="1980" w:type="dxa"/>
          </w:tcPr>
          <w:p w14:paraId="16B47F63" w14:textId="77777777" w:rsidR="00276781" w:rsidRDefault="00276781" w:rsidP="00276781">
            <w:r>
              <w:lastRenderedPageBreak/>
              <w:t xml:space="preserve">1. 80% of students surveyed will agree </w:t>
            </w:r>
            <w:r>
              <w:lastRenderedPageBreak/>
              <w:t>that outcomes are met.</w:t>
            </w:r>
          </w:p>
          <w:p w14:paraId="2587C565" w14:textId="77777777" w:rsidR="00276781" w:rsidRDefault="00276781" w:rsidP="00276781">
            <w:r>
              <w:t>2. 80% of employers surveyed will agree that outcomes are met.</w:t>
            </w:r>
          </w:p>
          <w:p w14:paraId="64AC71A8" w14:textId="77777777" w:rsidR="00276781" w:rsidRDefault="00276781" w:rsidP="00276781">
            <w:r>
              <w:t xml:space="preserve">3. Annual programmatic review of the outcomes assessment plan which incorporates surveys of employers, graduates, and advisory committee  </w:t>
            </w:r>
          </w:p>
          <w:p w14:paraId="46911C30" w14:textId="77777777" w:rsidR="00276781" w:rsidRDefault="00276781" w:rsidP="00276781"/>
        </w:tc>
        <w:tc>
          <w:tcPr>
            <w:tcW w:w="3060" w:type="dxa"/>
          </w:tcPr>
          <w:p w14:paraId="47F33554" w14:textId="39A9745C" w:rsidR="00276781" w:rsidRDefault="00276781" w:rsidP="00276781">
            <w:r>
              <w:lastRenderedPageBreak/>
              <w:t xml:space="preserve">1. Funding for </w:t>
            </w:r>
            <w:r w:rsidR="006D7E0D">
              <w:t xml:space="preserve">fall and spring </w:t>
            </w:r>
            <w:r>
              <w:t xml:space="preserve"> advisory meeting</w:t>
            </w:r>
            <w:r w:rsidR="006D7E0D">
              <w:t>s</w:t>
            </w:r>
          </w:p>
          <w:p w14:paraId="5851B3D3" w14:textId="47C59CE1" w:rsidR="00276781" w:rsidRDefault="00276781" w:rsidP="00276781">
            <w:r>
              <w:t>Estimated cost: $</w:t>
            </w:r>
            <w:r w:rsidR="006D7E0D">
              <w:t>4</w:t>
            </w:r>
            <w:r>
              <w:t>50.00</w:t>
            </w:r>
          </w:p>
          <w:p w14:paraId="516C9D76" w14:textId="77777777" w:rsidR="00276781" w:rsidRDefault="00276781" w:rsidP="00276781"/>
          <w:p w14:paraId="4EE1A2B7" w14:textId="77777777" w:rsidR="00276781" w:rsidRDefault="00276781" w:rsidP="00276781"/>
        </w:tc>
      </w:tr>
      <w:tr w:rsidR="00276781" w14:paraId="367B6756" w14:textId="77777777" w:rsidTr="00BF284B">
        <w:tc>
          <w:tcPr>
            <w:tcW w:w="3240" w:type="dxa"/>
          </w:tcPr>
          <w:p w14:paraId="54FD7A2B" w14:textId="77777777" w:rsidR="00276781" w:rsidRPr="005A01F0" w:rsidRDefault="00276781" w:rsidP="00276781">
            <w:r w:rsidRPr="005A01F0">
              <w:lastRenderedPageBreak/>
              <w:t>Develop contracts with additional healthcare settings to increase the number of student enrollment in the program.</w:t>
            </w:r>
          </w:p>
          <w:p w14:paraId="1B449A2A" w14:textId="77777777" w:rsidR="00276781" w:rsidRPr="005A01F0" w:rsidRDefault="00276781" w:rsidP="00276781">
            <w:pPr>
              <w:rPr>
                <w:b/>
              </w:rPr>
            </w:pPr>
            <w:r w:rsidRPr="005A01F0">
              <w:rPr>
                <w:b/>
              </w:rPr>
              <w:t>Program Outcome</w:t>
            </w:r>
          </w:p>
          <w:p w14:paraId="31DB0F3B" w14:textId="77777777" w:rsidR="00276781" w:rsidRDefault="00276781" w:rsidP="00276781">
            <w:r w:rsidRPr="005A01F0">
              <w:t>#1. 70% of students admitted to the MLT program will complete as technically competent individuals ready to enter the laboratory workforce</w:t>
            </w:r>
            <w:r>
              <w:t>.</w:t>
            </w:r>
          </w:p>
          <w:p w14:paraId="3BE41955" w14:textId="2A897700" w:rsidR="00276781" w:rsidRDefault="00276781" w:rsidP="00276781">
            <w:pPr>
              <w:rPr>
                <w:b/>
              </w:rPr>
            </w:pPr>
            <w:r>
              <w:rPr>
                <w:b/>
              </w:rPr>
              <w:t>College Action Priority #</w:t>
            </w:r>
            <w:r w:rsidR="00100BDD">
              <w:rPr>
                <w:b/>
              </w:rPr>
              <w:t>2</w:t>
            </w:r>
            <w:bookmarkStart w:id="3" w:name="_GoBack"/>
            <w:bookmarkEnd w:id="3"/>
          </w:p>
          <w:p w14:paraId="38ACB5FC" w14:textId="77777777" w:rsidR="00276781" w:rsidRPr="005A01F0" w:rsidRDefault="00276781" w:rsidP="00276781">
            <w:r>
              <w:t>Increase visibility and promote communication both inside and outside of the college</w:t>
            </w:r>
          </w:p>
        </w:tc>
        <w:tc>
          <w:tcPr>
            <w:tcW w:w="1980" w:type="dxa"/>
          </w:tcPr>
          <w:p w14:paraId="54CE51CC" w14:textId="77777777" w:rsidR="00276781" w:rsidRPr="005A01F0" w:rsidRDefault="00276781" w:rsidP="00276781">
            <w:r w:rsidRPr="005A01F0">
              <w:t xml:space="preserve">1. Maintain </w:t>
            </w:r>
            <w:r>
              <w:t>Clinical</w:t>
            </w:r>
            <w:r w:rsidRPr="005A01F0">
              <w:t xml:space="preserve"> affiliations with area hospitals and clinics.</w:t>
            </w:r>
          </w:p>
          <w:p w14:paraId="0A24E35E" w14:textId="77777777" w:rsidR="00276781" w:rsidRPr="005A01F0" w:rsidRDefault="00276781" w:rsidP="00276781"/>
        </w:tc>
        <w:tc>
          <w:tcPr>
            <w:tcW w:w="1980" w:type="dxa"/>
          </w:tcPr>
          <w:p w14:paraId="443341F9" w14:textId="77777777" w:rsidR="00276781" w:rsidRPr="005A01F0" w:rsidRDefault="00276781" w:rsidP="00276781">
            <w:r w:rsidRPr="005A01F0">
              <w:t xml:space="preserve">1. </w:t>
            </w:r>
            <w:r>
              <w:t>Clinical</w:t>
            </w:r>
            <w:r w:rsidRPr="005A01F0">
              <w:t xml:space="preserve"> agencies will be sufficient to provide enrolled students with diverse and plentiful opportunities.</w:t>
            </w:r>
          </w:p>
          <w:p w14:paraId="7D76C977" w14:textId="77777777" w:rsidR="00276781" w:rsidRPr="005A01F0" w:rsidRDefault="00276781" w:rsidP="00276781"/>
          <w:p w14:paraId="511BDC88" w14:textId="77777777" w:rsidR="00276781" w:rsidRPr="005A01F0" w:rsidRDefault="00276781" w:rsidP="00276781">
            <w:r w:rsidRPr="005A01F0">
              <w:t xml:space="preserve">2. Maintain </w:t>
            </w:r>
            <w:r>
              <w:t>Clinical</w:t>
            </w:r>
            <w:r w:rsidRPr="005A01F0">
              <w:t xml:space="preserve"> relationships</w:t>
            </w:r>
          </w:p>
        </w:tc>
        <w:tc>
          <w:tcPr>
            <w:tcW w:w="3060" w:type="dxa"/>
          </w:tcPr>
          <w:p w14:paraId="34E82273" w14:textId="77777777" w:rsidR="00276781" w:rsidRPr="005A01F0" w:rsidRDefault="00276781" w:rsidP="00276781">
            <w:r w:rsidRPr="005A01F0">
              <w:t xml:space="preserve">1. Faculty travel expenses </w:t>
            </w:r>
          </w:p>
          <w:p w14:paraId="487E75D6" w14:textId="77777777" w:rsidR="00276781" w:rsidRPr="005A01F0" w:rsidRDefault="00276781" w:rsidP="00276781">
            <w:r w:rsidRPr="005A01F0">
              <w:t xml:space="preserve">Estimated cost:  $1,500.00 </w:t>
            </w:r>
          </w:p>
        </w:tc>
      </w:tr>
      <w:bookmarkEnd w:id="2"/>
    </w:tbl>
    <w:p w14:paraId="37382ADB" w14:textId="3343515F" w:rsidR="00464A11" w:rsidRDefault="00464A11" w:rsidP="00BB4C08">
      <w:pPr>
        <w:rPr>
          <w:b/>
        </w:rPr>
      </w:pPr>
    </w:p>
    <w:p w14:paraId="63EB112B" w14:textId="77777777" w:rsidR="00BF284B" w:rsidRPr="00BB4C08" w:rsidRDefault="00BF284B" w:rsidP="00BB4C08">
      <w:pPr>
        <w:rPr>
          <w:b/>
        </w:rPr>
      </w:pPr>
    </w:p>
    <w:sectPr w:rsidR="00BF284B" w:rsidRP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2414" w14:textId="77777777" w:rsidR="000E4844" w:rsidRDefault="000E4844" w:rsidP="007D08A3">
      <w:pPr>
        <w:spacing w:after="0" w:line="240" w:lineRule="auto"/>
      </w:pPr>
      <w:r>
        <w:separator/>
      </w:r>
    </w:p>
  </w:endnote>
  <w:endnote w:type="continuationSeparator" w:id="0">
    <w:p w14:paraId="14F93E0A" w14:textId="77777777" w:rsidR="000E4844" w:rsidRDefault="000E4844"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E6104" w14:textId="77777777" w:rsidR="000E4844" w:rsidRDefault="000E4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F4E0" w14:textId="77777777" w:rsidR="000E4844" w:rsidRDefault="000E4844" w:rsidP="007D08A3">
      <w:pPr>
        <w:spacing w:after="0" w:line="240" w:lineRule="auto"/>
      </w:pPr>
      <w:r>
        <w:separator/>
      </w:r>
    </w:p>
  </w:footnote>
  <w:footnote w:type="continuationSeparator" w:id="0">
    <w:p w14:paraId="545D7E75" w14:textId="77777777" w:rsidR="000E4844" w:rsidRDefault="000E4844"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64941"/>
    <w:multiLevelType w:val="hybridMultilevel"/>
    <w:tmpl w:val="E73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C2A1B"/>
    <w:multiLevelType w:val="hybridMultilevel"/>
    <w:tmpl w:val="9D30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03BDD"/>
    <w:multiLevelType w:val="hybridMultilevel"/>
    <w:tmpl w:val="ED6E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47DD7"/>
    <w:multiLevelType w:val="hybridMultilevel"/>
    <w:tmpl w:val="CBCCC4B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C069C"/>
    <w:multiLevelType w:val="hybridMultilevel"/>
    <w:tmpl w:val="4CA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7"/>
  </w:num>
  <w:num w:numId="6">
    <w:abstractNumId w:val="4"/>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104B"/>
    <w:rsid w:val="00006832"/>
    <w:rsid w:val="000173AA"/>
    <w:rsid w:val="00025113"/>
    <w:rsid w:val="00026FF0"/>
    <w:rsid w:val="000307C2"/>
    <w:rsid w:val="000554D9"/>
    <w:rsid w:val="0005725A"/>
    <w:rsid w:val="00063404"/>
    <w:rsid w:val="0006592C"/>
    <w:rsid w:val="000777F3"/>
    <w:rsid w:val="00086D68"/>
    <w:rsid w:val="00095308"/>
    <w:rsid w:val="000A7774"/>
    <w:rsid w:val="000C353B"/>
    <w:rsid w:val="000D0741"/>
    <w:rsid w:val="000E465F"/>
    <w:rsid w:val="000E4844"/>
    <w:rsid w:val="000E643B"/>
    <w:rsid w:val="000F229F"/>
    <w:rsid w:val="000F34DA"/>
    <w:rsid w:val="00100BDD"/>
    <w:rsid w:val="00100F98"/>
    <w:rsid w:val="00110434"/>
    <w:rsid w:val="00110842"/>
    <w:rsid w:val="0011121A"/>
    <w:rsid w:val="0011457C"/>
    <w:rsid w:val="00116245"/>
    <w:rsid w:val="00124A01"/>
    <w:rsid w:val="00124DB8"/>
    <w:rsid w:val="00125270"/>
    <w:rsid w:val="00132425"/>
    <w:rsid w:val="00146448"/>
    <w:rsid w:val="001558BB"/>
    <w:rsid w:val="00186EDF"/>
    <w:rsid w:val="00186EFD"/>
    <w:rsid w:val="00194487"/>
    <w:rsid w:val="001A6349"/>
    <w:rsid w:val="001B0C3A"/>
    <w:rsid w:val="001C0BF4"/>
    <w:rsid w:val="001D13DD"/>
    <w:rsid w:val="001D5E10"/>
    <w:rsid w:val="001F08BD"/>
    <w:rsid w:val="001F104B"/>
    <w:rsid w:val="001F2CC5"/>
    <w:rsid w:val="001F2D1B"/>
    <w:rsid w:val="002071DA"/>
    <w:rsid w:val="00211277"/>
    <w:rsid w:val="00223850"/>
    <w:rsid w:val="0022410F"/>
    <w:rsid w:val="00225B09"/>
    <w:rsid w:val="00234642"/>
    <w:rsid w:val="002348B0"/>
    <w:rsid w:val="002423BC"/>
    <w:rsid w:val="00243835"/>
    <w:rsid w:val="00250F56"/>
    <w:rsid w:val="00256D08"/>
    <w:rsid w:val="0026277B"/>
    <w:rsid w:val="00262911"/>
    <w:rsid w:val="002671AF"/>
    <w:rsid w:val="00276781"/>
    <w:rsid w:val="00293308"/>
    <w:rsid w:val="002A030D"/>
    <w:rsid w:val="002A20D9"/>
    <w:rsid w:val="002A27A4"/>
    <w:rsid w:val="002A54A8"/>
    <w:rsid w:val="002B6333"/>
    <w:rsid w:val="002B64AF"/>
    <w:rsid w:val="002D099F"/>
    <w:rsid w:val="002D0D0E"/>
    <w:rsid w:val="002E2CF1"/>
    <w:rsid w:val="00311A1C"/>
    <w:rsid w:val="00315680"/>
    <w:rsid w:val="00321057"/>
    <w:rsid w:val="00330E51"/>
    <w:rsid w:val="00346C4F"/>
    <w:rsid w:val="00351CBC"/>
    <w:rsid w:val="00354644"/>
    <w:rsid w:val="0036359D"/>
    <w:rsid w:val="003831F6"/>
    <w:rsid w:val="0038321D"/>
    <w:rsid w:val="0039114C"/>
    <w:rsid w:val="003A09B1"/>
    <w:rsid w:val="003A1296"/>
    <w:rsid w:val="003B2506"/>
    <w:rsid w:val="003D00A5"/>
    <w:rsid w:val="003D208A"/>
    <w:rsid w:val="003F3E23"/>
    <w:rsid w:val="00400E62"/>
    <w:rsid w:val="00403C96"/>
    <w:rsid w:val="00420086"/>
    <w:rsid w:val="00421ADA"/>
    <w:rsid w:val="00422F10"/>
    <w:rsid w:val="00433929"/>
    <w:rsid w:val="00435E0F"/>
    <w:rsid w:val="0043689D"/>
    <w:rsid w:val="0043795C"/>
    <w:rsid w:val="00450252"/>
    <w:rsid w:val="00464A11"/>
    <w:rsid w:val="00466B77"/>
    <w:rsid w:val="004766EF"/>
    <w:rsid w:val="00481035"/>
    <w:rsid w:val="004838D2"/>
    <w:rsid w:val="0049335F"/>
    <w:rsid w:val="004A1220"/>
    <w:rsid w:val="004A19A7"/>
    <w:rsid w:val="004A5E08"/>
    <w:rsid w:val="004A629F"/>
    <w:rsid w:val="004A7229"/>
    <w:rsid w:val="004B45CE"/>
    <w:rsid w:val="004B50B1"/>
    <w:rsid w:val="004C1C41"/>
    <w:rsid w:val="004C3D15"/>
    <w:rsid w:val="004C47E5"/>
    <w:rsid w:val="004C6FF7"/>
    <w:rsid w:val="004F1C06"/>
    <w:rsid w:val="00506C8B"/>
    <w:rsid w:val="00517DBE"/>
    <w:rsid w:val="005237E5"/>
    <w:rsid w:val="00544D74"/>
    <w:rsid w:val="00550748"/>
    <w:rsid w:val="00557DB5"/>
    <w:rsid w:val="005620A8"/>
    <w:rsid w:val="00574B73"/>
    <w:rsid w:val="00581327"/>
    <w:rsid w:val="005861AA"/>
    <w:rsid w:val="005906D1"/>
    <w:rsid w:val="005916C5"/>
    <w:rsid w:val="00597560"/>
    <w:rsid w:val="00597988"/>
    <w:rsid w:val="005A01F0"/>
    <w:rsid w:val="005A03F6"/>
    <w:rsid w:val="005A4011"/>
    <w:rsid w:val="005B52EF"/>
    <w:rsid w:val="005B5EEA"/>
    <w:rsid w:val="005B7891"/>
    <w:rsid w:val="005C16FC"/>
    <w:rsid w:val="005D2495"/>
    <w:rsid w:val="005D6604"/>
    <w:rsid w:val="005E0C15"/>
    <w:rsid w:val="005E3BE5"/>
    <w:rsid w:val="005F2E8E"/>
    <w:rsid w:val="005F47AE"/>
    <w:rsid w:val="00601CD4"/>
    <w:rsid w:val="0062605C"/>
    <w:rsid w:val="00632821"/>
    <w:rsid w:val="00636CFD"/>
    <w:rsid w:val="00663B1A"/>
    <w:rsid w:val="0067328A"/>
    <w:rsid w:val="00673D06"/>
    <w:rsid w:val="00685560"/>
    <w:rsid w:val="006940B8"/>
    <w:rsid w:val="006A09B1"/>
    <w:rsid w:val="006A23BF"/>
    <w:rsid w:val="006C0ED2"/>
    <w:rsid w:val="006C2246"/>
    <w:rsid w:val="006D210C"/>
    <w:rsid w:val="006D7E0D"/>
    <w:rsid w:val="006E0337"/>
    <w:rsid w:val="00701C73"/>
    <w:rsid w:val="00726613"/>
    <w:rsid w:val="00730821"/>
    <w:rsid w:val="00734D3B"/>
    <w:rsid w:val="00755D86"/>
    <w:rsid w:val="00764D95"/>
    <w:rsid w:val="0076514E"/>
    <w:rsid w:val="00772968"/>
    <w:rsid w:val="007822A5"/>
    <w:rsid w:val="00792C33"/>
    <w:rsid w:val="00794228"/>
    <w:rsid w:val="007B149C"/>
    <w:rsid w:val="007B3C14"/>
    <w:rsid w:val="007C6B2A"/>
    <w:rsid w:val="007D01DA"/>
    <w:rsid w:val="007D08A3"/>
    <w:rsid w:val="007E3999"/>
    <w:rsid w:val="007E7468"/>
    <w:rsid w:val="00802338"/>
    <w:rsid w:val="008031B6"/>
    <w:rsid w:val="00816808"/>
    <w:rsid w:val="008177BB"/>
    <w:rsid w:val="00830F67"/>
    <w:rsid w:val="00840F26"/>
    <w:rsid w:val="008562DE"/>
    <w:rsid w:val="00881717"/>
    <w:rsid w:val="00894211"/>
    <w:rsid w:val="008B1658"/>
    <w:rsid w:val="008C32D5"/>
    <w:rsid w:val="008D075D"/>
    <w:rsid w:val="008D14D5"/>
    <w:rsid w:val="008D4340"/>
    <w:rsid w:val="008E3555"/>
    <w:rsid w:val="008E5932"/>
    <w:rsid w:val="008F40A4"/>
    <w:rsid w:val="008F4DCB"/>
    <w:rsid w:val="00902C79"/>
    <w:rsid w:val="00912D3A"/>
    <w:rsid w:val="009136CC"/>
    <w:rsid w:val="00921635"/>
    <w:rsid w:val="00933E60"/>
    <w:rsid w:val="00956718"/>
    <w:rsid w:val="0096782A"/>
    <w:rsid w:val="00974F4F"/>
    <w:rsid w:val="00975717"/>
    <w:rsid w:val="009778B5"/>
    <w:rsid w:val="009850EB"/>
    <w:rsid w:val="009916BB"/>
    <w:rsid w:val="00991C42"/>
    <w:rsid w:val="0099686D"/>
    <w:rsid w:val="009A44EA"/>
    <w:rsid w:val="009A520C"/>
    <w:rsid w:val="009B5184"/>
    <w:rsid w:val="009C5168"/>
    <w:rsid w:val="009D3D8B"/>
    <w:rsid w:val="009F7BA9"/>
    <w:rsid w:val="00A06BE9"/>
    <w:rsid w:val="00A14276"/>
    <w:rsid w:val="00A2303C"/>
    <w:rsid w:val="00A24B41"/>
    <w:rsid w:val="00A74015"/>
    <w:rsid w:val="00A81EDB"/>
    <w:rsid w:val="00A831E7"/>
    <w:rsid w:val="00A94615"/>
    <w:rsid w:val="00AA65C1"/>
    <w:rsid w:val="00AD28F3"/>
    <w:rsid w:val="00AD6D91"/>
    <w:rsid w:val="00AE6467"/>
    <w:rsid w:val="00AF43FA"/>
    <w:rsid w:val="00AF4DB0"/>
    <w:rsid w:val="00B07F53"/>
    <w:rsid w:val="00B155D5"/>
    <w:rsid w:val="00B16DCF"/>
    <w:rsid w:val="00B26F6E"/>
    <w:rsid w:val="00B30B4C"/>
    <w:rsid w:val="00B320D3"/>
    <w:rsid w:val="00B3477F"/>
    <w:rsid w:val="00B359D2"/>
    <w:rsid w:val="00B37067"/>
    <w:rsid w:val="00B62FD1"/>
    <w:rsid w:val="00B82736"/>
    <w:rsid w:val="00B86B50"/>
    <w:rsid w:val="00B908FC"/>
    <w:rsid w:val="00B96259"/>
    <w:rsid w:val="00B9730B"/>
    <w:rsid w:val="00B97D18"/>
    <w:rsid w:val="00BA40CC"/>
    <w:rsid w:val="00BA5321"/>
    <w:rsid w:val="00BA602B"/>
    <w:rsid w:val="00BA6FB0"/>
    <w:rsid w:val="00BB4C08"/>
    <w:rsid w:val="00BC31DB"/>
    <w:rsid w:val="00BE623D"/>
    <w:rsid w:val="00BE77A6"/>
    <w:rsid w:val="00BF284B"/>
    <w:rsid w:val="00BF2AE8"/>
    <w:rsid w:val="00C24332"/>
    <w:rsid w:val="00C30FD5"/>
    <w:rsid w:val="00C32ED3"/>
    <w:rsid w:val="00C34EA2"/>
    <w:rsid w:val="00C4034A"/>
    <w:rsid w:val="00C41D57"/>
    <w:rsid w:val="00C6158B"/>
    <w:rsid w:val="00C664F5"/>
    <w:rsid w:val="00C700E4"/>
    <w:rsid w:val="00C72ACD"/>
    <w:rsid w:val="00C84383"/>
    <w:rsid w:val="00C860B8"/>
    <w:rsid w:val="00C91ABF"/>
    <w:rsid w:val="00C93882"/>
    <w:rsid w:val="00C964B4"/>
    <w:rsid w:val="00CA396F"/>
    <w:rsid w:val="00CB26DA"/>
    <w:rsid w:val="00CB2AAC"/>
    <w:rsid w:val="00CB40EC"/>
    <w:rsid w:val="00CB56DD"/>
    <w:rsid w:val="00CD5154"/>
    <w:rsid w:val="00CE19AC"/>
    <w:rsid w:val="00CE602E"/>
    <w:rsid w:val="00D1338B"/>
    <w:rsid w:val="00D3114D"/>
    <w:rsid w:val="00D3364D"/>
    <w:rsid w:val="00D5253F"/>
    <w:rsid w:val="00D63E4F"/>
    <w:rsid w:val="00D662C4"/>
    <w:rsid w:val="00D72659"/>
    <w:rsid w:val="00D8523B"/>
    <w:rsid w:val="00D87587"/>
    <w:rsid w:val="00D92E19"/>
    <w:rsid w:val="00D95A7E"/>
    <w:rsid w:val="00DA10E6"/>
    <w:rsid w:val="00DD0209"/>
    <w:rsid w:val="00DE2E9B"/>
    <w:rsid w:val="00DE6107"/>
    <w:rsid w:val="00E278EE"/>
    <w:rsid w:val="00E3078B"/>
    <w:rsid w:val="00E52FF2"/>
    <w:rsid w:val="00E62493"/>
    <w:rsid w:val="00E76273"/>
    <w:rsid w:val="00E7776F"/>
    <w:rsid w:val="00E810E8"/>
    <w:rsid w:val="00EA458C"/>
    <w:rsid w:val="00EC37A0"/>
    <w:rsid w:val="00EC577C"/>
    <w:rsid w:val="00ED1C74"/>
    <w:rsid w:val="00ED281B"/>
    <w:rsid w:val="00ED4B78"/>
    <w:rsid w:val="00EE2A55"/>
    <w:rsid w:val="00EF6FA6"/>
    <w:rsid w:val="00F02476"/>
    <w:rsid w:val="00F02C98"/>
    <w:rsid w:val="00F17409"/>
    <w:rsid w:val="00F514BC"/>
    <w:rsid w:val="00F53945"/>
    <w:rsid w:val="00F61765"/>
    <w:rsid w:val="00F7411F"/>
    <w:rsid w:val="00F80EA7"/>
    <w:rsid w:val="00F85109"/>
    <w:rsid w:val="00FB5550"/>
    <w:rsid w:val="00FB70DD"/>
    <w:rsid w:val="00FC3CB4"/>
    <w:rsid w:val="00FD1466"/>
    <w:rsid w:val="00FD4B4D"/>
    <w:rsid w:val="00FE5A6C"/>
    <w:rsid w:val="00FE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00E4"/>
  <w15:docId w15:val="{5B1D414D-B0ED-45E5-9A36-8AF9FB8B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TOAHeading">
    <w:name w:val="toa heading"/>
    <w:basedOn w:val="Normal"/>
    <w:next w:val="Normal"/>
    <w:semiHidden/>
    <w:rsid w:val="00250F56"/>
    <w:pPr>
      <w:widowControl w:val="0"/>
      <w:tabs>
        <w:tab w:val="right" w:pos="9360"/>
      </w:tabs>
      <w:suppressAutoHyphens/>
      <w:spacing w:after="0" w:line="240" w:lineRule="auto"/>
    </w:pPr>
    <w:rPr>
      <w:rFonts w:ascii="Arial" w:eastAsia="Times New Roman" w:hAnsi="Arial" w:cs="Times New Roman"/>
      <w:snapToGrid w:val="0"/>
      <w:sz w:val="20"/>
      <w:szCs w:val="20"/>
    </w:rPr>
  </w:style>
  <w:style w:type="table" w:styleId="TableGrid">
    <w:name w:val="Table Grid"/>
    <w:basedOn w:val="TableNormal"/>
    <w:uiPriority w:val="59"/>
    <w:rsid w:val="00250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5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BF4"/>
    <w:rPr>
      <w:color w:val="0000FF" w:themeColor="hyperlink"/>
      <w:u w:val="single"/>
    </w:rPr>
  </w:style>
  <w:style w:type="character" w:styleId="UnresolvedMention">
    <w:name w:val="Unresolved Mention"/>
    <w:basedOn w:val="DefaultParagraphFont"/>
    <w:uiPriority w:val="99"/>
    <w:semiHidden/>
    <w:unhideWhenUsed/>
    <w:rsid w:val="001C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74019">
      <w:bodyDiv w:val="1"/>
      <w:marLeft w:val="0"/>
      <w:marRight w:val="0"/>
      <w:marTop w:val="0"/>
      <w:marBottom w:val="0"/>
      <w:divBdr>
        <w:top w:val="none" w:sz="0" w:space="0" w:color="auto"/>
        <w:left w:val="none" w:sz="0" w:space="0" w:color="auto"/>
        <w:bottom w:val="none" w:sz="0" w:space="0" w:color="auto"/>
        <w:right w:val="none" w:sz="0" w:space="0" w:color="auto"/>
      </w:divBdr>
    </w:div>
    <w:div w:id="478691315">
      <w:bodyDiv w:val="1"/>
      <w:marLeft w:val="0"/>
      <w:marRight w:val="0"/>
      <w:marTop w:val="0"/>
      <w:marBottom w:val="0"/>
      <w:divBdr>
        <w:top w:val="none" w:sz="0" w:space="0" w:color="auto"/>
        <w:left w:val="none" w:sz="0" w:space="0" w:color="auto"/>
        <w:bottom w:val="none" w:sz="0" w:space="0" w:color="auto"/>
        <w:right w:val="none" w:sz="0" w:space="0" w:color="auto"/>
      </w:divBdr>
    </w:div>
    <w:div w:id="640231683">
      <w:bodyDiv w:val="1"/>
      <w:marLeft w:val="0"/>
      <w:marRight w:val="0"/>
      <w:marTop w:val="0"/>
      <w:marBottom w:val="0"/>
      <w:divBdr>
        <w:top w:val="none" w:sz="0" w:space="0" w:color="auto"/>
        <w:left w:val="none" w:sz="0" w:space="0" w:color="auto"/>
        <w:bottom w:val="none" w:sz="0" w:space="0" w:color="auto"/>
        <w:right w:val="none" w:sz="0" w:space="0" w:color="auto"/>
      </w:divBdr>
    </w:div>
    <w:div w:id="1745906465">
      <w:bodyDiv w:val="1"/>
      <w:marLeft w:val="0"/>
      <w:marRight w:val="0"/>
      <w:marTop w:val="0"/>
      <w:marBottom w:val="0"/>
      <w:divBdr>
        <w:top w:val="none" w:sz="0" w:space="0" w:color="auto"/>
        <w:left w:val="none" w:sz="0" w:space="0" w:color="auto"/>
        <w:bottom w:val="none" w:sz="0" w:space="0" w:color="auto"/>
        <w:right w:val="none" w:sz="0" w:space="0" w:color="auto"/>
      </w:divBdr>
    </w:div>
    <w:div w:id="1948346355">
      <w:bodyDiv w:val="1"/>
      <w:marLeft w:val="0"/>
      <w:marRight w:val="0"/>
      <w:marTop w:val="0"/>
      <w:marBottom w:val="0"/>
      <w:divBdr>
        <w:top w:val="none" w:sz="0" w:space="0" w:color="auto"/>
        <w:left w:val="none" w:sz="0" w:space="0" w:color="auto"/>
        <w:bottom w:val="none" w:sz="0" w:space="0" w:color="auto"/>
        <w:right w:val="none" w:sz="0" w:space="0" w:color="auto"/>
      </w:divBdr>
      <w:divsChild>
        <w:div w:id="1672024343">
          <w:marLeft w:val="0"/>
          <w:marRight w:val="0"/>
          <w:marTop w:val="0"/>
          <w:marBottom w:val="0"/>
          <w:divBdr>
            <w:top w:val="none" w:sz="0" w:space="0" w:color="auto"/>
            <w:left w:val="none" w:sz="0" w:space="0" w:color="auto"/>
            <w:bottom w:val="none" w:sz="0" w:space="0" w:color="auto"/>
            <w:right w:val="none" w:sz="0" w:space="0" w:color="auto"/>
          </w:divBdr>
        </w:div>
        <w:div w:id="56256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13</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Candance Hill</cp:lastModifiedBy>
  <cp:revision>10</cp:revision>
  <cp:lastPrinted>2021-08-30T17:26:00Z</cp:lastPrinted>
  <dcterms:created xsi:type="dcterms:W3CDTF">2021-08-22T09:42:00Z</dcterms:created>
  <dcterms:modified xsi:type="dcterms:W3CDTF">2021-08-30T18:00:00Z</dcterms:modified>
</cp:coreProperties>
</file>