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77D1386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22502AE" w:rsidR="00E70C73" w:rsidRPr="00B81C69" w:rsidRDefault="00A63B7B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612EB">
              <w:rPr>
                <w:b/>
                <w:sz w:val="24"/>
                <w:szCs w:val="24"/>
              </w:rPr>
              <w:t>021-2022</w:t>
            </w:r>
          </w:p>
        </w:tc>
      </w:tr>
    </w:tbl>
    <w:p w14:paraId="6B621BF9" w14:textId="326876AE" w:rsidR="004C7EB5" w:rsidRDefault="009612EB">
      <w:r>
        <w:t>Phi Theta Kappa—Beta Lambda Delta Chapter, Shelby-Hoover Campus</w:t>
      </w:r>
    </w:p>
    <w:tbl>
      <w:tblPr>
        <w:tblStyle w:val="TableGrid"/>
        <w:tblW w:w="0" w:type="auto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76"/>
        <w:gridCol w:w="3262"/>
        <w:gridCol w:w="3202"/>
        <w:gridCol w:w="3222"/>
      </w:tblGrid>
      <w:tr w:rsidR="00F26A57" w:rsidRPr="00D554AC" w14:paraId="52B73C98" w14:textId="77777777" w:rsidTr="009612EB">
        <w:tc>
          <w:tcPr>
            <w:tcW w:w="12862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9612EB">
        <w:trPr>
          <w:trHeight w:val="54"/>
        </w:trPr>
        <w:tc>
          <w:tcPr>
            <w:tcW w:w="31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62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02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22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9612EB" w14:paraId="421893C3" w14:textId="77777777" w:rsidTr="009612EB">
        <w:trPr>
          <w:trHeight w:val="54"/>
        </w:trPr>
        <w:tc>
          <w:tcPr>
            <w:tcW w:w="3176" w:type="dxa"/>
            <w:tcBorders>
              <w:top w:val="thinThickSmallGap" w:sz="12" w:space="0" w:color="auto"/>
              <w:right w:val="single" w:sz="6" w:space="0" w:color="auto"/>
            </w:tcBorders>
          </w:tcPr>
          <w:p w14:paraId="16CD2BDC" w14:textId="77777777" w:rsidR="00F13DA4" w:rsidRDefault="00F13DA4" w:rsidP="00F13DA4">
            <w:r>
              <w:t>Chapter members will engage in scholarly and intellectual pursuits through a lively investigation of the society’s Honors Study Topic.</w:t>
            </w:r>
          </w:p>
          <w:p w14:paraId="72B9DD08" w14:textId="77777777" w:rsidR="009612EB" w:rsidRDefault="009612EB" w:rsidP="009612EB"/>
        </w:tc>
        <w:tc>
          <w:tcPr>
            <w:tcW w:w="3262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A80FA09" w14:textId="77777777" w:rsidR="009612EB" w:rsidRDefault="009612EB" w:rsidP="009612EB"/>
          <w:p w14:paraId="5F61675A" w14:textId="18BC9C22" w:rsidR="009612EB" w:rsidRDefault="00F13DA4" w:rsidP="009612EB">
            <w:r>
              <w:t>Going through the Honors in Action process is the foundational educational activity of Phi Theta Kappa.  Through HIA, students learn about scholarly research, informed action, and assessment.</w:t>
            </w:r>
          </w:p>
        </w:tc>
        <w:tc>
          <w:tcPr>
            <w:tcW w:w="3202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6C6D3D1" w14:textId="3DFBFB20" w:rsidR="009612EB" w:rsidRDefault="00F13DA4" w:rsidP="009612EB">
            <w:r>
              <w:t xml:space="preserve">Chapter members wrote an original, copyrighted play about the Birmingham Children’s March of 1963.  Their project won awards at both state and international levels.  </w:t>
            </w:r>
          </w:p>
        </w:tc>
        <w:tc>
          <w:tcPr>
            <w:tcW w:w="3222" w:type="dxa"/>
            <w:tcBorders>
              <w:top w:val="thinThickSmallGap" w:sz="12" w:space="0" w:color="auto"/>
              <w:left w:val="single" w:sz="6" w:space="0" w:color="auto"/>
            </w:tcBorders>
          </w:tcPr>
          <w:p w14:paraId="04B8D6E4" w14:textId="21AE4797" w:rsidR="009612EB" w:rsidRDefault="00F13DA4" w:rsidP="009612EB">
            <w:r>
              <w:t xml:space="preserve">The project will formulate a new Honors in Action project based upon the 2022-2023 Honors Study Topic:  The Art and Science of Play.  </w:t>
            </w:r>
          </w:p>
        </w:tc>
      </w:tr>
      <w:tr w:rsidR="009612EB" w14:paraId="1CCEB10E" w14:textId="77777777" w:rsidTr="004B1A12">
        <w:trPr>
          <w:trHeight w:val="1578"/>
        </w:trPr>
        <w:tc>
          <w:tcPr>
            <w:tcW w:w="3176" w:type="dxa"/>
            <w:tcBorders>
              <w:right w:val="single" w:sz="6" w:space="0" w:color="auto"/>
            </w:tcBorders>
          </w:tcPr>
          <w:p w14:paraId="75390B26" w14:textId="77777777" w:rsidR="002C440F" w:rsidRDefault="002C440F" w:rsidP="002C440F">
            <w:r>
              <w:t>Chapter members will develop as leaders engaged with our College and community.</w:t>
            </w:r>
          </w:p>
          <w:p w14:paraId="5F138202" w14:textId="77777777" w:rsidR="009612EB" w:rsidRDefault="009612EB" w:rsidP="009612EB">
            <w:pPr>
              <w:ind w:left="720" w:hanging="720"/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0A6F6477" w14:textId="7463BB40" w:rsidR="009612EB" w:rsidRPr="00875A53" w:rsidRDefault="002C440F" w:rsidP="009612EB">
            <w:r>
              <w:t xml:space="preserve">Leadership is one of the Hallmarks of Phi Theta Kappa.  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6" w:space="0" w:color="auto"/>
            </w:tcBorders>
          </w:tcPr>
          <w:p w14:paraId="6E6DE59F" w14:textId="6388B9D6" w:rsidR="009612EB" w:rsidRDefault="002C440F" w:rsidP="009612EB">
            <w:r>
              <w:t xml:space="preserve">Chapter members worked with marchers from the Birmingham Children’s March of 1963.  They also worked with College administrators as they brought mental health services to Jefferson State.  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090EEE0A" w14:textId="110948D0" w:rsidR="009612EB" w:rsidRDefault="009612EB" w:rsidP="009612EB">
            <w:r>
              <w:t xml:space="preserve"> </w:t>
            </w:r>
            <w:r w:rsidR="002C440F">
              <w:t xml:space="preserve">Chapter members will continue to work with both community and College leaders.  </w:t>
            </w:r>
          </w:p>
        </w:tc>
      </w:tr>
      <w:tr w:rsidR="009612EB" w14:paraId="1B914A8E" w14:textId="77777777" w:rsidTr="009612EB">
        <w:trPr>
          <w:trHeight w:val="54"/>
        </w:trPr>
        <w:tc>
          <w:tcPr>
            <w:tcW w:w="3176" w:type="dxa"/>
            <w:tcBorders>
              <w:right w:val="single" w:sz="6" w:space="0" w:color="auto"/>
            </w:tcBorders>
          </w:tcPr>
          <w:p w14:paraId="2D938471" w14:textId="77777777" w:rsidR="00CC5544" w:rsidRDefault="00CC5544" w:rsidP="00CC5544">
            <w:r>
              <w:t xml:space="preserve">Chapter members and officers will enhance their understanding of the mission, goals, and aims of Phi Theta Kappa and will further develop their leadership </w:t>
            </w:r>
            <w:r>
              <w:lastRenderedPageBreak/>
              <w:t>skills and their cross-cultural understanding of others.</w:t>
            </w:r>
          </w:p>
          <w:p w14:paraId="6A019EA3" w14:textId="1A2F604F" w:rsidR="009612EB" w:rsidRDefault="009612EB" w:rsidP="004B1A12"/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5B2FCFAB" w14:textId="46A0D0F6" w:rsidR="009612EB" w:rsidRPr="0067708A" w:rsidRDefault="00CC5544" w:rsidP="009612EB">
            <w:r>
              <w:lastRenderedPageBreak/>
              <w:t xml:space="preserve">It is important for Phi Theta Kappa members to understand the honor society as a whole and to see how their chapter fits in </w:t>
            </w:r>
            <w:r>
              <w:lastRenderedPageBreak/>
              <w:t xml:space="preserve">with PTK at the state and international levels.  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45FB4A56" w:rsidR="009612EB" w:rsidRDefault="00CC5544" w:rsidP="009612EB">
            <w:r>
              <w:lastRenderedPageBreak/>
              <w:t>Chapter members were able to attend the Phi Theta Kappa state convention in Fairhope, Alabama</w:t>
            </w:r>
            <w:r w:rsidR="006F3D39">
              <w:t>,</w:t>
            </w:r>
            <w:r>
              <w:t xml:space="preserve"> and the International Convention in Denver, Colorado.  </w:t>
            </w:r>
            <w:r>
              <w:lastRenderedPageBreak/>
              <w:t>Through these trips, they met with PTK members from around the state, nation, and world.  In addition, they deepened</w:t>
            </w:r>
            <w:r w:rsidR="00D63963">
              <w:t xml:space="preserve"> their understanding of </w:t>
            </w:r>
            <w:r w:rsidR="006F3D39">
              <w:t>social</w:t>
            </w:r>
            <w:r w:rsidR="00D63963">
              <w:t xml:space="preserve"> initiatives.  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17205329" w14:textId="2D47A123" w:rsidR="009612EB" w:rsidRDefault="00D63963" w:rsidP="009612EB">
            <w:r>
              <w:lastRenderedPageBreak/>
              <w:t xml:space="preserve">As Covid travel </w:t>
            </w:r>
            <w:r w:rsidR="006F3D39">
              <w:t>continues</w:t>
            </w:r>
            <w:r>
              <w:t xml:space="preserve"> to be lifted, chapter members will continue traveling to state and international Phi Theta Kappa </w:t>
            </w:r>
            <w:r>
              <w:lastRenderedPageBreak/>
              <w:t xml:space="preserve">retreats and events to enhance their knowledge of the society.  </w:t>
            </w:r>
          </w:p>
          <w:p w14:paraId="078BDC5B" w14:textId="64E743C9" w:rsidR="00D63963" w:rsidRDefault="00D63963" w:rsidP="009612EB"/>
        </w:tc>
      </w:tr>
      <w:tr w:rsidR="009612EB" w14:paraId="61FD0432" w14:textId="77777777" w:rsidTr="009612EB">
        <w:trPr>
          <w:trHeight w:val="54"/>
        </w:trPr>
        <w:tc>
          <w:tcPr>
            <w:tcW w:w="3176" w:type="dxa"/>
            <w:tcBorders>
              <w:right w:val="single" w:sz="6" w:space="0" w:color="auto"/>
            </w:tcBorders>
          </w:tcPr>
          <w:p w14:paraId="68995855" w14:textId="77777777" w:rsidR="00116056" w:rsidRDefault="00116056" w:rsidP="00116056">
            <w:r>
              <w:lastRenderedPageBreak/>
              <w:t>Students will learn the process of taking an idea from the development state to implementing and assessing it.</w:t>
            </w:r>
          </w:p>
          <w:p w14:paraId="755799C6" w14:textId="77777777" w:rsidR="009612EB" w:rsidRPr="003F4281" w:rsidRDefault="009612EB" w:rsidP="009612EB">
            <w:pPr>
              <w:ind w:left="720" w:hanging="720"/>
              <w:rPr>
                <w:rFonts w:cstheme="minorHAnsi"/>
                <w:sz w:val="24"/>
                <w:szCs w:val="24"/>
              </w:rPr>
            </w:pPr>
          </w:p>
          <w:p w14:paraId="7FCF15F8" w14:textId="77777777" w:rsidR="009612EB" w:rsidRDefault="009612EB" w:rsidP="009612EB">
            <w:pPr>
              <w:ind w:left="720" w:hanging="720"/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2FFD745D" w:rsidR="009612EB" w:rsidRDefault="00116056" w:rsidP="009612EB">
            <w:r>
              <w:t xml:space="preserve">Students learn more about themselves and develop more transferable skills when they create their projects instead of merely volunteering for projects created by other organizations.  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099E761F" w:rsidR="009612EB" w:rsidRDefault="00116056" w:rsidP="009612EB">
            <w:r>
              <w:t xml:space="preserve">Students created the previously mentioned Honors in Action Project from the ground up.  They conducted academic research, wrote and copyrighted a play, produced and distributed a podcast of their play, and assessed results from audience members.  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11F0E7E5" w14:textId="07766416" w:rsidR="009612EB" w:rsidRPr="00116056" w:rsidRDefault="00116056" w:rsidP="009612EB">
            <w:r>
              <w:t xml:space="preserve">Chapter members will continue this process through their new project:  </w:t>
            </w:r>
            <w:r>
              <w:rPr>
                <w:i/>
                <w:iCs/>
              </w:rPr>
              <w:t>Pretty Terrific Kids</w:t>
            </w:r>
            <w:r>
              <w:t xml:space="preserve">.  This series of eBooks for children promotes inclusivity in play, especially for </w:t>
            </w:r>
            <w:r w:rsidR="006F3D39">
              <w:t>differently abled children</w:t>
            </w:r>
            <w:r>
              <w:t xml:space="preserve">.  </w:t>
            </w:r>
          </w:p>
        </w:tc>
      </w:tr>
      <w:tr w:rsidR="009612EB" w14:paraId="0397EC7C" w14:textId="77777777" w:rsidTr="009612EB">
        <w:trPr>
          <w:trHeight w:val="54"/>
        </w:trPr>
        <w:tc>
          <w:tcPr>
            <w:tcW w:w="3176" w:type="dxa"/>
            <w:tcBorders>
              <w:right w:val="single" w:sz="6" w:space="0" w:color="auto"/>
            </w:tcBorders>
          </w:tcPr>
          <w:p w14:paraId="6053BFFE" w14:textId="77777777" w:rsidR="002A381D" w:rsidRDefault="002A381D" w:rsidP="002A381D">
            <w:r>
              <w:t>Students who desire to do so will develop their leadership skills through the state and international levels of Phi Theta Kappa.</w:t>
            </w:r>
          </w:p>
          <w:p w14:paraId="71A5B0F0" w14:textId="1308E316" w:rsidR="009612EB" w:rsidRPr="003F4281" w:rsidRDefault="009612EB" w:rsidP="009612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7C81DE9F" w14:textId="4443FDB2" w:rsidR="009612EB" w:rsidRDefault="006F3D39" w:rsidP="009612EB">
            <w:r>
              <w:t>Students need to have</w:t>
            </w:r>
            <w:r w:rsidR="00FD3FCE">
              <w:t xml:space="preserve"> the chance to enhance their leadership skills by running for and holding state and international </w:t>
            </w:r>
            <w:r>
              <w:t>offices</w:t>
            </w:r>
            <w:r w:rsidR="00FD3FCE">
              <w:t xml:space="preserve">.  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6" w:space="0" w:color="auto"/>
            </w:tcBorders>
          </w:tcPr>
          <w:p w14:paraId="1D466849" w14:textId="2879A179" w:rsidR="009612EB" w:rsidRDefault="00FD3FCE" w:rsidP="009612EB">
            <w:r>
              <w:t xml:space="preserve">This year, no Beta Lambda Delta members ran for state or international office.  However, Frank Lee of the Pi Pi chapter served as a state officer.  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311B6900" w14:textId="381B362F" w:rsidR="009612EB" w:rsidRDefault="00FD3FCE" w:rsidP="009612EB">
            <w:r>
              <w:t xml:space="preserve">The chapter advisor will encourage students to consider running for these offices.  </w:t>
            </w:r>
          </w:p>
        </w:tc>
      </w:tr>
      <w:tr w:rsidR="009612EB" w14:paraId="4B77011C" w14:textId="77777777" w:rsidTr="009612EB">
        <w:trPr>
          <w:trHeight w:val="54"/>
        </w:trPr>
        <w:tc>
          <w:tcPr>
            <w:tcW w:w="3176" w:type="dxa"/>
            <w:tcBorders>
              <w:right w:val="single" w:sz="6" w:space="0" w:color="auto"/>
            </w:tcBorders>
          </w:tcPr>
          <w:p w14:paraId="2936C73D" w14:textId="4EE896AB" w:rsidR="00D174F3" w:rsidRDefault="00D174F3" w:rsidP="00D174F3">
            <w:r>
              <w:t xml:space="preserve">  Students will submit the results of their Honors in Action and College Projects to Phi Theta Kappa Headquarters for state and international </w:t>
            </w:r>
            <w:r w:rsidR="006F3D39">
              <w:t>competitions</w:t>
            </w:r>
            <w:r>
              <w:t xml:space="preserve">.  </w:t>
            </w:r>
          </w:p>
          <w:p w14:paraId="7A0A9C04" w14:textId="52AF2CEE" w:rsidR="009612EB" w:rsidRPr="003F4281" w:rsidRDefault="009612EB" w:rsidP="009612EB">
            <w:pPr>
              <w:ind w:left="720" w:hanging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0410455C" w14:textId="7FC279DC" w:rsidR="009612EB" w:rsidRDefault="00D174F3" w:rsidP="009612EB">
            <w:r>
              <w:t xml:space="preserve">Intentional reflection is an important part of the learning process.  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6" w:space="0" w:color="auto"/>
            </w:tcBorders>
          </w:tcPr>
          <w:p w14:paraId="7F41904B" w14:textId="38D16441" w:rsidR="009612EB" w:rsidRDefault="00D174F3" w:rsidP="009612EB">
            <w:r>
              <w:t xml:space="preserve">Chapter members submitted assessment essays on both their HIA Project and their College Project. Based </w:t>
            </w:r>
            <w:r w:rsidR="006F3D39">
              <w:t>on</w:t>
            </w:r>
            <w:r>
              <w:t xml:space="preserve"> these essays’ scores, the chapter placed first in Alabama and was ranked second internationally (out of 1,285 chapters.)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11497E17" w14:textId="7EB1B9D7" w:rsidR="009612EB" w:rsidRDefault="006F3D39" w:rsidP="009612EB">
            <w:r>
              <w:t>After</w:t>
            </w:r>
            <w:r w:rsidR="00D174F3">
              <w:t xml:space="preserve"> their projects, the chapter will continue to write and submit assessment </w:t>
            </w:r>
            <w:r w:rsidR="007A7D5E">
              <w:t>essays</w:t>
            </w:r>
            <w:r w:rsidR="00D174F3">
              <w:t xml:space="preserve"> for Phi Theta Kappa’s competitive Hallmark Awards competition.  </w:t>
            </w:r>
          </w:p>
        </w:tc>
      </w:tr>
      <w:tr w:rsidR="009612EB" w14:paraId="6CEBB95D" w14:textId="77777777" w:rsidTr="009612EB">
        <w:trPr>
          <w:trHeight w:val="54"/>
        </w:trPr>
        <w:tc>
          <w:tcPr>
            <w:tcW w:w="3176" w:type="dxa"/>
            <w:tcBorders>
              <w:right w:val="single" w:sz="6" w:space="0" w:color="auto"/>
            </w:tcBorders>
          </w:tcPr>
          <w:p w14:paraId="385E4C92" w14:textId="77777777" w:rsidR="007A7D5E" w:rsidRPr="0054305E" w:rsidRDefault="007A7D5E" w:rsidP="007A7D5E">
            <w:pPr>
              <w:rPr>
                <w:bCs/>
              </w:rPr>
            </w:pPr>
            <w:r>
              <w:rPr>
                <w:bCs/>
              </w:rPr>
              <w:t xml:space="preserve">Advisors will promote their chapter’s work at conferences.  </w:t>
            </w:r>
          </w:p>
          <w:p w14:paraId="40DCBD71" w14:textId="4EBAA9DF" w:rsidR="009612EB" w:rsidRPr="00EC59F3" w:rsidRDefault="009612EB" w:rsidP="00A869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6F5C7BEE" w14:textId="01390137" w:rsidR="009612EB" w:rsidRPr="00EC59F3" w:rsidRDefault="00A86914" w:rsidP="009612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Advisors promoting </w:t>
            </w:r>
            <w:r w:rsidR="007A7D5E">
              <w:rPr>
                <w:rFonts w:cstheme="minorHAnsi"/>
                <w:sz w:val="24"/>
                <w:szCs w:val="24"/>
              </w:rPr>
              <w:t xml:space="preserve">their chapter’s work brings recognition to the college; in addition, it allows for vital </w:t>
            </w:r>
            <w:r w:rsidR="007A7D5E">
              <w:rPr>
                <w:rFonts w:cstheme="minorHAnsi"/>
                <w:sz w:val="24"/>
                <w:szCs w:val="24"/>
              </w:rPr>
              <w:lastRenderedPageBreak/>
              <w:t xml:space="preserve">networking for chapter advisors.  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6" w:space="0" w:color="auto"/>
            </w:tcBorders>
          </w:tcPr>
          <w:p w14:paraId="4A0B43A2" w14:textId="14BF4A19" w:rsidR="009612EB" w:rsidRPr="00EC59F3" w:rsidRDefault="007A7D5E" w:rsidP="009612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presentation on the chapter’s HIA project was accepted by the National Humanities Conference. 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Unfortunately, the conference was canceled due to Covid restrictions.  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2D2E8687" w14:textId="7A4DF519" w:rsidR="009612EB" w:rsidRPr="00EC59F3" w:rsidRDefault="007A7D5E" w:rsidP="009612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Advisors will present at the National Humanities Conference this November 4.  The presentation will be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virtual, saving on travel costs for the College.  </w:t>
            </w:r>
          </w:p>
        </w:tc>
      </w:tr>
      <w:tr w:rsidR="009612EB" w14:paraId="578B9023" w14:textId="77777777" w:rsidTr="009612EB">
        <w:trPr>
          <w:trHeight w:val="54"/>
        </w:trPr>
        <w:tc>
          <w:tcPr>
            <w:tcW w:w="3176" w:type="dxa"/>
            <w:tcBorders>
              <w:right w:val="single" w:sz="6" w:space="0" w:color="auto"/>
            </w:tcBorders>
          </w:tcPr>
          <w:p w14:paraId="56225ADE" w14:textId="77777777" w:rsidR="00A50678" w:rsidRDefault="00A50678" w:rsidP="00A50678">
            <w:r>
              <w:lastRenderedPageBreak/>
              <w:t>The chapter will purchase a trophy case to display awards won over the years.</w:t>
            </w:r>
          </w:p>
          <w:p w14:paraId="7CFDDC89" w14:textId="27864A54" w:rsidR="009612EB" w:rsidRPr="003F4281" w:rsidRDefault="009612EB" w:rsidP="009612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</w:tcPr>
          <w:p w14:paraId="32027386" w14:textId="57F00E29" w:rsidR="009612EB" w:rsidRPr="00EC59F3" w:rsidRDefault="00524AE8" w:rsidP="009612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chapter has won many awards over the years.  A trophy case will allow us to showcase these awards to the college and Birmingham-area communities.  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6" w:space="0" w:color="auto"/>
            </w:tcBorders>
          </w:tcPr>
          <w:p w14:paraId="2316A9FB" w14:textId="090077C3" w:rsidR="009612EB" w:rsidRPr="00EC59F3" w:rsidRDefault="00524AE8" w:rsidP="009612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are pricing trophy cases now and should order one soon.</w:t>
            </w:r>
          </w:p>
        </w:tc>
        <w:tc>
          <w:tcPr>
            <w:tcW w:w="3222" w:type="dxa"/>
            <w:tcBorders>
              <w:left w:val="single" w:sz="6" w:space="0" w:color="auto"/>
            </w:tcBorders>
          </w:tcPr>
          <w:p w14:paraId="3783D4E8" w14:textId="712668B7" w:rsidR="009612EB" w:rsidRPr="00EC59F3" w:rsidRDefault="00524AE8" w:rsidP="009612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Once we have our case in place, we will display our awards.   </w:t>
            </w:r>
          </w:p>
        </w:tc>
      </w:tr>
      <w:tr w:rsidR="009612EB" w:rsidRPr="002A44E2" w14:paraId="16830BC7" w14:textId="77777777" w:rsidTr="009612EB">
        <w:tc>
          <w:tcPr>
            <w:tcW w:w="6438" w:type="dxa"/>
            <w:gridSpan w:val="2"/>
            <w:tcBorders>
              <w:right w:val="single" w:sz="4" w:space="0" w:color="auto"/>
            </w:tcBorders>
          </w:tcPr>
          <w:p w14:paraId="4296E15C" w14:textId="77777777" w:rsidR="009612EB" w:rsidRPr="002A44E2" w:rsidRDefault="009612EB" w:rsidP="009612EB">
            <w:pPr>
              <w:rPr>
                <w:sz w:val="12"/>
                <w:szCs w:val="12"/>
              </w:rPr>
            </w:pPr>
          </w:p>
          <w:p w14:paraId="31504F2E" w14:textId="77777777" w:rsidR="009612EB" w:rsidRPr="002A44E2" w:rsidRDefault="009612EB" w:rsidP="009612EB">
            <w:pPr>
              <w:rPr>
                <w:b/>
                <w:sz w:val="12"/>
                <w:szCs w:val="12"/>
              </w:rPr>
            </w:pPr>
          </w:p>
          <w:p w14:paraId="70FA597F" w14:textId="54FC41E9" w:rsidR="009612EB" w:rsidRDefault="009612EB" w:rsidP="009612EB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>
              <w:rPr>
                <w:b/>
              </w:rPr>
              <w:t xml:space="preserve">  </w:t>
            </w:r>
            <w:r w:rsidR="00745AF5">
              <w:rPr>
                <w:b/>
              </w:rPr>
              <w:t>8-25-2022</w:t>
            </w:r>
          </w:p>
        </w:tc>
        <w:tc>
          <w:tcPr>
            <w:tcW w:w="6424" w:type="dxa"/>
            <w:gridSpan w:val="2"/>
            <w:tcBorders>
              <w:left w:val="single" w:sz="4" w:space="0" w:color="auto"/>
            </w:tcBorders>
          </w:tcPr>
          <w:p w14:paraId="4F484968" w14:textId="77777777" w:rsidR="009612EB" w:rsidRPr="00490115" w:rsidRDefault="009612EB" w:rsidP="009612EB">
            <w:pPr>
              <w:rPr>
                <w:sz w:val="12"/>
                <w:szCs w:val="12"/>
              </w:rPr>
            </w:pPr>
          </w:p>
          <w:p w14:paraId="233506C1" w14:textId="77777777" w:rsidR="009612EB" w:rsidRPr="00490115" w:rsidRDefault="009612EB" w:rsidP="009612EB">
            <w:pPr>
              <w:rPr>
                <w:sz w:val="12"/>
                <w:szCs w:val="12"/>
              </w:rPr>
            </w:pPr>
          </w:p>
          <w:p w14:paraId="4450EA23" w14:textId="2AC1F40E" w:rsidR="009612EB" w:rsidRDefault="009612EB" w:rsidP="009612EB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>
              <w:rPr>
                <w:b/>
              </w:rPr>
              <w:t xml:space="preserve">  Liesl W. Harris, Chapter Advisor</w:t>
            </w:r>
          </w:p>
          <w:p w14:paraId="6F331A40" w14:textId="77777777" w:rsidR="009612EB" w:rsidRPr="002A44E2" w:rsidRDefault="009612EB" w:rsidP="009612EB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B3041EB" w:rsidR="00F26A57" w:rsidRDefault="00F26A57"/>
    <w:p w14:paraId="055DD3E7" w14:textId="7B96FE62" w:rsidR="00E94F0E" w:rsidRDefault="00E94F0E"/>
    <w:p w14:paraId="6AAA0204" w14:textId="171C3C95" w:rsidR="00E94F0E" w:rsidRDefault="00E94F0E">
      <w:r>
        <w:br w:type="page"/>
      </w:r>
    </w:p>
    <w:p w14:paraId="2D702C5B" w14:textId="77777777" w:rsidR="003C5156" w:rsidRDefault="003C5156">
      <w:pPr>
        <w:rPr>
          <w:noProof/>
        </w:rPr>
      </w:pPr>
    </w:p>
    <w:p w14:paraId="313E1E53" w14:textId="77777777" w:rsidR="003C5156" w:rsidRDefault="003C5156">
      <w:pPr>
        <w:rPr>
          <w:noProof/>
        </w:rPr>
      </w:pPr>
    </w:p>
    <w:p w14:paraId="27719D90" w14:textId="36949FB7" w:rsidR="00667E39" w:rsidRDefault="00667E39"/>
    <w:p w14:paraId="776B3F98" w14:textId="6873A7CC" w:rsidR="00B474DD" w:rsidRDefault="00B474DD"/>
    <w:p w14:paraId="37F9276F" w14:textId="6C6A9D7F" w:rsidR="00B474DD" w:rsidRDefault="00B474DD">
      <w:r>
        <w:br w:type="page"/>
      </w:r>
    </w:p>
    <w:p w14:paraId="5128F89D" w14:textId="7EBFF4EF" w:rsidR="00B474DD" w:rsidRDefault="00B474DD"/>
    <w:sectPr w:rsidR="00B474DD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4586A"/>
    <w:rsid w:val="000F2F47"/>
    <w:rsid w:val="00116056"/>
    <w:rsid w:val="00187A5D"/>
    <w:rsid w:val="001C3C9B"/>
    <w:rsid w:val="001E24F9"/>
    <w:rsid w:val="00205081"/>
    <w:rsid w:val="00213DA5"/>
    <w:rsid w:val="00252B70"/>
    <w:rsid w:val="002A381D"/>
    <w:rsid w:val="002C1867"/>
    <w:rsid w:val="002C440F"/>
    <w:rsid w:val="002D23AE"/>
    <w:rsid w:val="00303D8B"/>
    <w:rsid w:val="00323A6A"/>
    <w:rsid w:val="003353E5"/>
    <w:rsid w:val="003376EF"/>
    <w:rsid w:val="003A1941"/>
    <w:rsid w:val="003C5156"/>
    <w:rsid w:val="004268D6"/>
    <w:rsid w:val="004309A3"/>
    <w:rsid w:val="00490F1D"/>
    <w:rsid w:val="004B1A12"/>
    <w:rsid w:val="004B6968"/>
    <w:rsid w:val="004C7EB5"/>
    <w:rsid w:val="004F6911"/>
    <w:rsid w:val="00503C9E"/>
    <w:rsid w:val="005064F1"/>
    <w:rsid w:val="00524AE8"/>
    <w:rsid w:val="00545804"/>
    <w:rsid w:val="00585C3C"/>
    <w:rsid w:val="006118C2"/>
    <w:rsid w:val="00667E39"/>
    <w:rsid w:val="0067708A"/>
    <w:rsid w:val="006F3D39"/>
    <w:rsid w:val="00745AF5"/>
    <w:rsid w:val="007509F2"/>
    <w:rsid w:val="007A7D5E"/>
    <w:rsid w:val="007C34A5"/>
    <w:rsid w:val="007D42C8"/>
    <w:rsid w:val="00863F3E"/>
    <w:rsid w:val="00875A53"/>
    <w:rsid w:val="008B3166"/>
    <w:rsid w:val="008B407E"/>
    <w:rsid w:val="008E4B6D"/>
    <w:rsid w:val="00914C23"/>
    <w:rsid w:val="00926C5F"/>
    <w:rsid w:val="00932E7C"/>
    <w:rsid w:val="009612EB"/>
    <w:rsid w:val="00961F05"/>
    <w:rsid w:val="00977AF1"/>
    <w:rsid w:val="00996E47"/>
    <w:rsid w:val="009A6C9A"/>
    <w:rsid w:val="009F5C30"/>
    <w:rsid w:val="00A022D6"/>
    <w:rsid w:val="00A43545"/>
    <w:rsid w:val="00A50678"/>
    <w:rsid w:val="00A63B7B"/>
    <w:rsid w:val="00A86914"/>
    <w:rsid w:val="00AA7308"/>
    <w:rsid w:val="00AD576F"/>
    <w:rsid w:val="00AF1F21"/>
    <w:rsid w:val="00B20CF7"/>
    <w:rsid w:val="00B474DD"/>
    <w:rsid w:val="00B55E05"/>
    <w:rsid w:val="00B67784"/>
    <w:rsid w:val="00B95D9F"/>
    <w:rsid w:val="00C000C1"/>
    <w:rsid w:val="00C2773C"/>
    <w:rsid w:val="00C813AC"/>
    <w:rsid w:val="00C926EE"/>
    <w:rsid w:val="00CC221F"/>
    <w:rsid w:val="00CC5544"/>
    <w:rsid w:val="00D10C15"/>
    <w:rsid w:val="00D174F3"/>
    <w:rsid w:val="00D3697C"/>
    <w:rsid w:val="00D63963"/>
    <w:rsid w:val="00D81329"/>
    <w:rsid w:val="00D97352"/>
    <w:rsid w:val="00DD2C2D"/>
    <w:rsid w:val="00E362BD"/>
    <w:rsid w:val="00E62351"/>
    <w:rsid w:val="00E70C73"/>
    <w:rsid w:val="00E94F0E"/>
    <w:rsid w:val="00F13DA4"/>
    <w:rsid w:val="00F26A57"/>
    <w:rsid w:val="00F349E6"/>
    <w:rsid w:val="00F54CDB"/>
    <w:rsid w:val="00FB4773"/>
    <w:rsid w:val="00FD3FCE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ParagraphStyle0">
    <w:name w:val="ParagraphStyle0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1">
    <w:name w:val="ParagraphStyle1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2">
    <w:name w:val="ParagraphStyle2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3">
    <w:name w:val="ParagraphStyle3"/>
    <w:hidden/>
    <w:rsid w:val="00A022D6"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87CEFA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4">
    <w:name w:val="ParagraphStyle4"/>
    <w:hidden/>
    <w:rsid w:val="00A022D6"/>
    <w:pPr>
      <w:pBdr>
        <w:top w:val="single" w:sz="6" w:space="0" w:color="000000"/>
        <w:bottom w:val="single" w:sz="6" w:space="0" w:color="000000"/>
      </w:pBdr>
      <w:shd w:val="clear" w:color="auto" w:fill="87CEFA"/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5">
    <w:name w:val="ParagraphStyle5"/>
    <w:hidden/>
    <w:rsid w:val="00A022D6"/>
    <w:pPr>
      <w:pBdr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6">
    <w:name w:val="ParagraphStyle6"/>
    <w:hidden/>
    <w:rsid w:val="00A022D6"/>
    <w:pPr>
      <w:pBdr>
        <w:bottom w:val="single" w:sz="6" w:space="0" w:color="000000"/>
      </w:pBd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7">
    <w:name w:val="ParagraphStyle7"/>
    <w:hidden/>
    <w:rsid w:val="00A022D6"/>
    <w:pPr>
      <w:pBdr>
        <w:left w:val="single" w:sz="6" w:space="0" w:color="000000"/>
        <w:bottom w:val="single" w:sz="6" w:space="0" w:color="000000"/>
      </w:pBd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8">
    <w:name w:val="ParagraphStyle8"/>
    <w:hidden/>
    <w:rsid w:val="00A022D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9">
    <w:name w:val="ParagraphStyle9"/>
    <w:hidden/>
    <w:rsid w:val="00A022D6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87CEFA"/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10">
    <w:name w:val="ParagraphStyle10"/>
    <w:hidden/>
    <w:rsid w:val="00A022D6"/>
    <w:pPr>
      <w:pBdr>
        <w:bottom w:val="single" w:sz="6" w:space="0" w:color="000000"/>
        <w:right w:val="single" w:sz="6" w:space="0" w:color="000000"/>
      </w:pBdr>
      <w:shd w:val="clear" w:color="auto" w:fill="87CEFA"/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11">
    <w:name w:val="ParagraphStyle11"/>
    <w:hidden/>
    <w:rsid w:val="00A022D6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8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12">
    <w:name w:val="ParagraphStyle12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13">
    <w:name w:val="ParagraphStyle13"/>
    <w:hidden/>
    <w:rsid w:val="00A022D6"/>
    <w:pPr>
      <w:pBdr>
        <w:bottom w:val="single" w:sz="6" w:space="0" w:color="000000"/>
        <w:right w:val="single" w:sz="6" w:space="0" w:color="000000"/>
      </w:pBdr>
      <w:shd w:val="clear" w:color="auto" w:fill="F0F8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14">
    <w:name w:val="ParagraphStyle14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15">
    <w:name w:val="ParagraphStyle15"/>
    <w:hidden/>
    <w:rsid w:val="00A022D6"/>
    <w:pPr>
      <w:pBdr>
        <w:bottom w:val="single" w:sz="6" w:space="0" w:color="000000"/>
        <w:right w:val="single" w:sz="6" w:space="0" w:color="000000"/>
      </w:pBdr>
      <w:shd w:val="clear" w:color="auto" w:fill="F0F8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16">
    <w:name w:val="ParagraphStyle16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17">
    <w:name w:val="ParagraphStyle17"/>
    <w:hidden/>
    <w:rsid w:val="00A022D6"/>
    <w:pPr>
      <w:pBdr>
        <w:bottom w:val="single" w:sz="6" w:space="0" w:color="000000"/>
      </w:pBdr>
      <w:shd w:val="clear" w:color="auto" w:fill="F0F8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18">
    <w:name w:val="ParagraphStyle18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19">
    <w:name w:val="ParagraphStyle19"/>
    <w:hidden/>
    <w:rsid w:val="00A022D6"/>
    <w:pPr>
      <w:pBdr>
        <w:left w:val="single" w:sz="6" w:space="0" w:color="000000"/>
        <w:bottom w:val="single" w:sz="6" w:space="0" w:color="000000"/>
      </w:pBdr>
      <w:shd w:val="clear" w:color="auto" w:fill="F0F8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20">
    <w:name w:val="ParagraphStyle20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21">
    <w:name w:val="ParagraphStyle21"/>
    <w:hidden/>
    <w:rsid w:val="00A022D6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0F8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22">
    <w:name w:val="ParagraphStyle22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23">
    <w:name w:val="ParagraphStyle23"/>
    <w:hidden/>
    <w:rsid w:val="00A022D6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0FF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24">
    <w:name w:val="ParagraphStyle24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25">
    <w:name w:val="ParagraphStyle25"/>
    <w:hidden/>
    <w:rsid w:val="00A022D6"/>
    <w:pPr>
      <w:pBdr>
        <w:bottom w:val="single" w:sz="6" w:space="0" w:color="000000"/>
        <w:right w:val="single" w:sz="6" w:space="0" w:color="000000"/>
      </w:pBdr>
      <w:shd w:val="clear" w:color="auto" w:fill="E0FF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26">
    <w:name w:val="ParagraphStyle26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27">
    <w:name w:val="ParagraphStyle27"/>
    <w:hidden/>
    <w:rsid w:val="00A022D6"/>
    <w:pPr>
      <w:pBdr>
        <w:bottom w:val="single" w:sz="6" w:space="0" w:color="000000"/>
        <w:right w:val="single" w:sz="6" w:space="0" w:color="000000"/>
      </w:pBdr>
      <w:shd w:val="clear" w:color="auto" w:fill="E0FF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28">
    <w:name w:val="ParagraphStyle28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29">
    <w:name w:val="ParagraphStyle29"/>
    <w:hidden/>
    <w:rsid w:val="00A022D6"/>
    <w:pPr>
      <w:pBdr>
        <w:bottom w:val="single" w:sz="6" w:space="0" w:color="000000"/>
      </w:pBdr>
      <w:shd w:val="clear" w:color="auto" w:fill="E0FF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30">
    <w:name w:val="ParagraphStyle30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31">
    <w:name w:val="ParagraphStyle31"/>
    <w:hidden/>
    <w:rsid w:val="00A022D6"/>
    <w:pPr>
      <w:pBdr>
        <w:left w:val="single" w:sz="6" w:space="0" w:color="000000"/>
        <w:bottom w:val="single" w:sz="6" w:space="0" w:color="000000"/>
      </w:pBdr>
      <w:shd w:val="clear" w:color="auto" w:fill="E0FF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32">
    <w:name w:val="ParagraphStyle32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33">
    <w:name w:val="ParagraphStyle33"/>
    <w:hidden/>
    <w:rsid w:val="00A022D6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0FFFF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34">
    <w:name w:val="ParagraphStyle34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35">
    <w:name w:val="ParagraphStyle35"/>
    <w:hidden/>
    <w:rsid w:val="00A022D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36">
    <w:name w:val="ParagraphStyle36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37">
    <w:name w:val="ParagraphStyle37"/>
    <w:hidden/>
    <w:rsid w:val="00A022D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38">
    <w:name w:val="ParagraphStyle38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39">
    <w:name w:val="ParagraphStyle39"/>
    <w:hidden/>
    <w:rsid w:val="00A022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40">
    <w:name w:val="ParagraphStyle40"/>
    <w:hidden/>
    <w:rsid w:val="00A022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41">
    <w:name w:val="ParagraphStyle41"/>
    <w:hidden/>
    <w:rsid w:val="00A02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ParagraphStyle42">
    <w:name w:val="ParagraphStyle42"/>
    <w:hidden/>
    <w:rsid w:val="00A022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43">
    <w:name w:val="ParagraphStyle43"/>
    <w:hidden/>
    <w:rsid w:val="00A022D6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customStyle="1" w:styleId="FakeCharacterStyle">
    <w:name w:val="FakeCharacterStyle"/>
    <w:hidden/>
    <w:rsid w:val="00A022D6"/>
    <w:rPr>
      <w:sz w:val="1"/>
      <w:szCs w:val="1"/>
    </w:rPr>
  </w:style>
  <w:style w:type="character" w:customStyle="1" w:styleId="CharacterStyle0">
    <w:name w:val="CharacterStyle0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sid w:val="00A022D6"/>
    <w:rPr>
      <w:rFonts w:ascii="Arial" w:hAnsi="Arial"/>
      <w:b/>
      <w:i w:val="0"/>
      <w:strike w:val="0"/>
      <w:noProof/>
      <w:color w:val="000000"/>
      <w:sz w:val="48"/>
      <w:szCs w:val="48"/>
      <w:u w:val="none"/>
    </w:rPr>
  </w:style>
  <w:style w:type="character" w:customStyle="1" w:styleId="CharacterStyle2">
    <w:name w:val="CharacterStyle2"/>
    <w:hidden/>
    <w:rsid w:val="00A022D6"/>
    <w:rPr>
      <w:rFonts w:ascii="Arial" w:hAnsi="Arial"/>
      <w:b/>
      <w:i w:val="0"/>
      <w:strike w:val="0"/>
      <w:noProof/>
      <w:color w:val="FF0000"/>
      <w:sz w:val="43"/>
      <w:szCs w:val="43"/>
      <w:u w:val="none"/>
    </w:rPr>
  </w:style>
  <w:style w:type="character" w:customStyle="1" w:styleId="CharacterStyle3">
    <w:name w:val="CharacterStyle3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4">
    <w:name w:val="CharacterStyle4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0">
    <w:name w:val="CharacterStyle10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2">
    <w:name w:val="CharacterStyle12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6">
    <w:name w:val="CharacterStyle16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7">
    <w:name w:val="CharacterStyle17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8">
    <w:name w:val="CharacterStyle18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9">
    <w:name w:val="CharacterStyle19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0">
    <w:name w:val="CharacterStyle20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1">
    <w:name w:val="CharacterStyle21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2">
    <w:name w:val="CharacterStyle22"/>
    <w:hidden/>
    <w:rsid w:val="00A022D6"/>
    <w:rPr>
      <w:rFonts w:ascii="Arial" w:hAnsi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3">
    <w:name w:val="CharacterStyle23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4">
    <w:name w:val="CharacterStyle24"/>
    <w:hidden/>
    <w:rsid w:val="00A022D6"/>
    <w:rPr>
      <w:rFonts w:ascii="Arial" w:hAnsi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5">
    <w:name w:val="CharacterStyle25"/>
    <w:hidden/>
    <w:rsid w:val="00A022D6"/>
    <w:rPr>
      <w:rFonts w:ascii="Arial" w:hAnsi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6">
    <w:name w:val="CharacterStyle26"/>
    <w:hidden/>
    <w:rsid w:val="00A022D6"/>
    <w:rPr>
      <w:rFonts w:ascii="Arial" w:hAnsi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7">
    <w:name w:val="CharacterStyle27"/>
    <w:hidden/>
    <w:rsid w:val="00A022D6"/>
    <w:rPr>
      <w:rFonts w:ascii="Arial" w:hAnsi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8">
    <w:name w:val="CharacterStyle28"/>
    <w:hidden/>
    <w:rsid w:val="00A022D6"/>
    <w:rPr>
      <w:rFonts w:ascii="Arial" w:hAnsi="Arial"/>
      <w:b w:val="0"/>
      <w:i w:val="0"/>
      <w:strike w:val="0"/>
      <w:noProof/>
      <w:color w:val="000000"/>
      <w:sz w:val="18"/>
      <w:szCs w:val="18"/>
      <w:u w:val="none"/>
    </w:rPr>
  </w:style>
  <w:style w:type="character" w:styleId="Hyperlink">
    <w:name w:val="Hyperlink"/>
    <w:basedOn w:val="DefaultParagraphFont"/>
    <w:uiPriority w:val="99"/>
    <w:unhideWhenUsed/>
    <w:rsid w:val="00585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C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778</Words>
  <Characters>4324</Characters>
  <Application>Microsoft Office Word</Application>
  <DocSecurity>0</DocSecurity>
  <Lines>227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23</cp:revision>
  <dcterms:created xsi:type="dcterms:W3CDTF">2022-08-18T15:42:00Z</dcterms:created>
  <dcterms:modified xsi:type="dcterms:W3CDTF">2022-10-26T21:08:00Z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fff4ca36baa7d573c2b79370e1cad54f4f6493f1619730f30bb4b664df8184ea</vt:lpwstr>
  </property>
</Properties>
</file>