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776C8" w:rsidP="007776C8" w:rsidRDefault="007776C8" w14:paraId="4B5F55C1" w14:textId="77777777">
      <w:pPr>
        <w:spacing w:after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Pr="00B81C69" w:rsidR="00490115" w:rsidTr="00691FF1" w14:paraId="48FC07A3" w14:textId="77777777">
        <w:tc>
          <w:tcPr>
            <w:tcW w:w="6588" w:type="dxa"/>
          </w:tcPr>
          <w:p w:rsidRPr="00B81C69" w:rsidR="00490115" w:rsidP="00691FF1" w:rsidRDefault="00490115" w14:paraId="2369A0A9" w14:textId="7777777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798954" wp14:editId="53963D5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Pr="00490115" w:rsidR="00490115" w:rsidP="00490115" w:rsidRDefault="00490115" w14:paraId="26453B2D" w14:textId="77777777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:rsidRPr="002A44E2" w:rsidR="00490115" w:rsidP="00490115" w:rsidRDefault="00490115" w14:paraId="07BDCD56" w14:textId="77777777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Pr="00B81C69" w:rsidR="00490115" w:rsidTr="00691FF1" w14:paraId="70B33CDB" w14:textId="77777777">
        <w:tc>
          <w:tcPr>
            <w:tcW w:w="1291" w:type="dxa"/>
          </w:tcPr>
          <w:p w:rsidRPr="00D554AC" w:rsidR="00490115" w:rsidP="00691FF1" w:rsidRDefault="00490115" w14:paraId="177B1CE8" w14:textId="77777777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color="auto" w:sz="6" w:space="0"/>
            </w:tcBorders>
          </w:tcPr>
          <w:p w:rsidRPr="00B81C69" w:rsidR="00490115" w:rsidP="00691FF1" w:rsidRDefault="00EC0E17" w14:paraId="6910C0C1" w14:textId="6AD60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Education</w:t>
            </w:r>
          </w:p>
        </w:tc>
        <w:tc>
          <w:tcPr>
            <w:tcW w:w="2610" w:type="dxa"/>
          </w:tcPr>
          <w:p w:rsidRPr="00D554AC" w:rsidR="00490115" w:rsidP="00490115" w:rsidRDefault="00490115" w14:paraId="42BF8919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color="auto" w:sz="6" w:space="0"/>
            </w:tcBorders>
          </w:tcPr>
          <w:p w:rsidRPr="00B81C69" w:rsidR="00490115" w:rsidP="00691FF1" w:rsidRDefault="008A015C" w14:paraId="48FB6DE1" w14:textId="33DA8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</w:tbl>
    <w:p w:rsidR="00490115" w:rsidP="00490115" w:rsidRDefault="00490115" w14:paraId="5C792C8C" w14:textId="77777777">
      <w:pPr>
        <w:spacing w:after="0"/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Pr="00D554AC" w:rsidR="00490115" w:rsidTr="0DD54709" w14:paraId="6315B757" w14:textId="77777777">
        <w:tc>
          <w:tcPr>
            <w:tcW w:w="13176" w:type="dxa"/>
            <w:gridSpan w:val="4"/>
            <w:tcBorders>
              <w:bottom w:val="single" w:color="auto" w:sz="6" w:space="0"/>
            </w:tcBorders>
            <w:shd w:val="clear" w:color="auto" w:fill="D9D9D9" w:themeFill="background1" w:themeFillShade="D9"/>
            <w:tcMar/>
          </w:tcPr>
          <w:p w:rsidRPr="00D554AC" w:rsidR="00490115" w:rsidP="00691FF1" w:rsidRDefault="00490115" w14:paraId="2FAEE1B5" w14:textId="7777777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Pr="00D554AC" w:rsidR="00490115" w:rsidTr="0DD54709" w14:paraId="2EF43AFF" w14:textId="77777777">
        <w:trPr>
          <w:trHeight w:val="54"/>
        </w:trPr>
        <w:tc>
          <w:tcPr>
            <w:tcW w:w="3294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tcMar/>
          </w:tcPr>
          <w:p w:rsidRPr="00490115" w:rsidR="00490115" w:rsidP="00490115" w:rsidRDefault="00490115" w14:paraId="53277599" w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D554AC" w:rsidR="00490115" w:rsidP="00490115" w:rsidRDefault="00490115" w14:paraId="2BD74520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color="auto" w:sz="6" w:space="0"/>
              <w:bottom w:val="thinThickSmallGap" w:color="auto" w:sz="12" w:space="0"/>
              <w:right w:val="single" w:color="auto" w:sz="4" w:space="0"/>
            </w:tcBorders>
            <w:tcMar/>
          </w:tcPr>
          <w:p w:rsidRPr="00D554AC" w:rsidR="00490115" w:rsidP="00490115" w:rsidRDefault="00490115" w14:paraId="7C83AE98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color="auto" w:sz="4" w:space="0"/>
              <w:bottom w:val="thinThickSmallGap" w:color="auto" w:sz="12" w:space="0"/>
              <w:right w:val="single" w:color="auto" w:sz="6" w:space="0"/>
            </w:tcBorders>
            <w:tcMar/>
          </w:tcPr>
          <w:p w:rsidRPr="00490115" w:rsidR="00490115" w:rsidP="00490115" w:rsidRDefault="00490115" w14:paraId="62CDF27B" w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D554AC" w:rsidR="00490115" w:rsidP="00490115" w:rsidRDefault="00490115" w14:paraId="11DC3CDE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color="auto" w:sz="6" w:space="0"/>
              <w:bottom w:val="thinThickSmallGap" w:color="auto" w:sz="12" w:space="0"/>
            </w:tcBorders>
            <w:tcMar/>
          </w:tcPr>
          <w:p w:rsidRPr="00D554AC" w:rsidR="00490115" w:rsidP="00490115" w:rsidRDefault="00490115" w14:paraId="4917BE8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:rsidTr="0DD54709" w14:paraId="740AE3DC" w14:textId="77777777">
        <w:trPr>
          <w:trHeight w:val="54"/>
        </w:trPr>
        <w:tc>
          <w:tcPr>
            <w:tcW w:w="3294" w:type="dxa"/>
            <w:tcBorders>
              <w:top w:val="thinThickSmallGap" w:color="auto" w:sz="12" w:space="0"/>
              <w:right w:val="single" w:color="auto" w:sz="6" w:space="0"/>
            </w:tcBorders>
            <w:tcMar/>
          </w:tcPr>
          <w:p w:rsidR="00490115" w:rsidP="004E7B26" w:rsidRDefault="00D2193E" w14:paraId="6A882432" w14:textId="2BC699BA">
            <w:r>
              <w:t>The A</w:t>
            </w:r>
            <w:r w:rsidR="00EC0E17">
              <w:t xml:space="preserve">dult Education </w:t>
            </w:r>
            <w:r>
              <w:t xml:space="preserve">Program </w:t>
            </w:r>
            <w:r w:rsidR="00EC0E17">
              <w:t>will secure federal and state fund</w:t>
            </w:r>
            <w:r w:rsidR="00FD2F9E">
              <w:t>s</w:t>
            </w:r>
            <w:r w:rsidR="00EC0E17">
              <w:t xml:space="preserve"> through a competitive grant application process. </w:t>
            </w:r>
          </w:p>
        </w:tc>
        <w:tc>
          <w:tcPr>
            <w:tcW w:w="3294" w:type="dxa"/>
            <w:tcBorders>
              <w:top w:val="thinThickSmallGap" w:color="auto" w:sz="12" w:space="0"/>
              <w:left w:val="single" w:color="auto" w:sz="6" w:space="0"/>
              <w:right w:val="single" w:color="auto" w:sz="4" w:space="0"/>
            </w:tcBorders>
            <w:tcMar/>
          </w:tcPr>
          <w:p w:rsidR="00490115" w:rsidP="00CC1A7C" w:rsidRDefault="00EC0E17" w14:paraId="03E19106" w14:textId="77777777">
            <w:r>
              <w:t xml:space="preserve">Federal and state funds awarded by the Alabama Community College System (ACCS) were utilized. Institutional funds were used to support and provide indirect services. </w:t>
            </w:r>
          </w:p>
        </w:tc>
        <w:tc>
          <w:tcPr>
            <w:tcW w:w="3294" w:type="dxa"/>
            <w:tcBorders>
              <w:top w:val="thinThickSmallGap" w:color="auto" w:sz="12" w:space="0"/>
              <w:left w:val="single" w:color="auto" w:sz="4" w:space="0"/>
              <w:right w:val="single" w:color="auto" w:sz="6" w:space="0"/>
            </w:tcBorders>
            <w:tcMar/>
          </w:tcPr>
          <w:p w:rsidR="00490115" w:rsidP="004B41B0" w:rsidRDefault="00345C2B" w14:paraId="7F853425" w14:textId="453EB226">
            <w:r w:rsidR="00345C2B">
              <w:rPr/>
              <w:t>The Alabama Community College System (ACCS) extended the program’s funding based on prior performance</w:t>
            </w:r>
            <w:r w:rsidR="005641CB">
              <w:rPr/>
              <w:t xml:space="preserve">. </w:t>
            </w:r>
            <w:r w:rsidR="007715B5">
              <w:rPr/>
              <w:t>A</w:t>
            </w:r>
            <w:r w:rsidR="003C3F82">
              <w:rPr/>
              <w:t xml:space="preserve"> notification of award sent to </w:t>
            </w:r>
            <w:r w:rsidR="592210DC">
              <w:rPr/>
              <w:t>JSCC (Jefferson State Community College)</w:t>
            </w:r>
            <w:r w:rsidR="003C3F82">
              <w:rPr/>
              <w:t xml:space="preserve"> in </w:t>
            </w:r>
            <w:r w:rsidR="009237A3">
              <w:rPr/>
              <w:t>August 2022.</w:t>
            </w:r>
          </w:p>
        </w:tc>
        <w:tc>
          <w:tcPr>
            <w:tcW w:w="3294" w:type="dxa"/>
            <w:tcBorders>
              <w:top w:val="thinThickSmallGap" w:color="auto" w:sz="12" w:space="0"/>
              <w:left w:val="single" w:color="auto" w:sz="6" w:space="0"/>
            </w:tcBorders>
            <w:tcMar/>
          </w:tcPr>
          <w:p w:rsidR="00490115" w:rsidP="00691FF1" w:rsidRDefault="00345C2B" w14:paraId="342E6CA6" w14:textId="2076A7F2">
            <w:r w:rsidR="035C9873">
              <w:rPr/>
              <w:t>A performance-based</w:t>
            </w:r>
            <w:r w:rsidR="00345C2B">
              <w:rPr/>
              <w:t xml:space="preserve"> funding formula was </w:t>
            </w:r>
            <w:r w:rsidR="00345C2B">
              <w:rPr/>
              <w:t>utilized</w:t>
            </w:r>
            <w:r w:rsidR="00345C2B">
              <w:rPr/>
              <w:t xml:space="preserve"> by ACCS. JSSC’s program received comparable funding so services were consistent with previous year’s funding. </w:t>
            </w:r>
            <w:r w:rsidR="008A015C">
              <w:rPr/>
              <w:t>The program was successful in receiving over $</w:t>
            </w:r>
            <w:r w:rsidR="7CBEFA45">
              <w:rPr/>
              <w:t>40,00</w:t>
            </w:r>
            <w:r w:rsidR="008A015C">
              <w:rPr/>
              <w:t xml:space="preserve"> in </w:t>
            </w:r>
            <w:r w:rsidR="0AB629A3">
              <w:rPr/>
              <w:t>SNAP (Supplemental Nutrition Assistance Program)</w:t>
            </w:r>
            <w:r w:rsidR="008A015C">
              <w:rPr/>
              <w:t xml:space="preserve"> funds used to pay for </w:t>
            </w:r>
            <w:r w:rsidR="610414B4">
              <w:rPr/>
              <w:t xml:space="preserve">instructional costs, </w:t>
            </w:r>
            <w:r w:rsidR="008A015C">
              <w:rPr/>
              <w:t>books</w:t>
            </w:r>
            <w:r w:rsidR="1E968A42">
              <w:rPr/>
              <w:t>,</w:t>
            </w:r>
            <w:r w:rsidR="008A015C">
              <w:rPr/>
              <w:t xml:space="preserve"> and certification exams</w:t>
            </w:r>
            <w:r w:rsidR="008A015C">
              <w:rPr/>
              <w:t xml:space="preserve"> for Career Pathways (now </w:t>
            </w:r>
            <w:r w:rsidR="03D85C55">
              <w:rPr/>
              <w:t>IET)</w:t>
            </w:r>
            <w:r w:rsidR="008A015C">
              <w:rPr/>
              <w:t xml:space="preserve"> </w:t>
            </w:r>
            <w:r w:rsidR="008A015C">
              <w:rPr/>
              <w:t>student</w:t>
            </w:r>
            <w:r w:rsidR="6629F802">
              <w:rPr/>
              <w:t>s</w:t>
            </w:r>
            <w:r w:rsidR="58ECFB68">
              <w:rPr/>
              <w:t xml:space="preserve">. </w:t>
            </w:r>
          </w:p>
        </w:tc>
      </w:tr>
      <w:tr w:rsidR="00490115" w:rsidTr="0DD54709" w14:paraId="0F8BDC7F" w14:textId="77777777">
        <w:trPr>
          <w:trHeight w:val="54"/>
        </w:trPr>
        <w:tc>
          <w:tcPr>
            <w:tcW w:w="3294" w:type="dxa"/>
            <w:tcBorders>
              <w:right w:val="single" w:color="auto" w:sz="6" w:space="0"/>
            </w:tcBorders>
            <w:tcMar/>
          </w:tcPr>
          <w:p w:rsidR="00490115" w:rsidP="004E7B26" w:rsidRDefault="00D2193E" w14:paraId="60D45AAB" w14:textId="242520EE">
            <w:r>
              <w:t xml:space="preserve">The </w:t>
            </w:r>
            <w:r w:rsidR="00EC0E17">
              <w:t xml:space="preserve">Adult Education Program will promote access to instructional assistance and supportive services at key locations in the program’s established service region. </w:t>
            </w:r>
          </w:p>
        </w:tc>
        <w:tc>
          <w:tcPr>
            <w:tcW w:w="3294" w:type="dxa"/>
            <w:tcBorders>
              <w:left w:val="single" w:color="auto" w:sz="6" w:space="0"/>
              <w:right w:val="single" w:color="auto" w:sz="4" w:space="0"/>
            </w:tcBorders>
            <w:tcMar/>
          </w:tcPr>
          <w:p w:rsidR="00490115" w:rsidP="00691FF1" w:rsidRDefault="008A015C" w14:paraId="4DA733C1" w14:textId="0CC85E2D">
            <w:r w:rsidR="008A015C">
              <w:rPr/>
              <w:t xml:space="preserve">Review of requests for </w:t>
            </w:r>
            <w:r w:rsidR="6BD1A1E6">
              <w:rPr/>
              <w:t>AE (Adult Education)</w:t>
            </w:r>
            <w:r w:rsidR="008A015C">
              <w:rPr/>
              <w:t xml:space="preserve"> services within the college’s service area to see if there are existing </w:t>
            </w:r>
            <w:r w:rsidR="5D7806F8">
              <w:rPr/>
              <w:t>s</w:t>
            </w:r>
            <w:r w:rsidR="008A015C">
              <w:rPr/>
              <w:t xml:space="preserve">ites that meet those needs or if new sites need to be considered. </w:t>
            </w:r>
          </w:p>
        </w:tc>
        <w:tc>
          <w:tcPr>
            <w:tcW w:w="3294" w:type="dxa"/>
            <w:tcBorders>
              <w:left w:val="single" w:color="auto" w:sz="4" w:space="0"/>
              <w:right w:val="single" w:color="auto" w:sz="6" w:space="0"/>
            </w:tcBorders>
            <w:tcMar/>
          </w:tcPr>
          <w:p w:rsidR="00490115" w:rsidP="00A03A9C" w:rsidRDefault="005641CB" w14:paraId="22794097" w14:textId="7C1E4259">
            <w:r w:rsidR="5D3B6F73">
              <w:rPr/>
              <w:t xml:space="preserve">43 remote, hybrid, and evening classes were </w:t>
            </w:r>
            <w:r w:rsidR="2A92928D">
              <w:rPr/>
              <w:t>provided</w:t>
            </w:r>
            <w:r w:rsidR="5D3B6F73">
              <w:rPr/>
              <w:t xml:space="preserve"> </w:t>
            </w:r>
            <w:r w:rsidR="5CE69245">
              <w:rPr/>
              <w:t xml:space="preserve">on the 4 Campuses and </w:t>
            </w:r>
            <w:r w:rsidR="5D3B6F73">
              <w:rPr/>
              <w:t>12 sites within the College’s service ar</w:t>
            </w:r>
            <w:r w:rsidR="5D3B6F73">
              <w:rPr/>
              <w:t>ea.</w:t>
            </w:r>
            <w:r w:rsidR="00345C2B">
              <w:rPr/>
              <w:t xml:space="preserve"> </w:t>
            </w:r>
            <w:r w:rsidR="00A8037D">
              <w:rPr/>
              <w:t>The A</w:t>
            </w:r>
            <w:r w:rsidR="00A8037D">
              <w:rPr/>
              <w:t>E</w:t>
            </w:r>
            <w:r w:rsidR="00A8037D">
              <w:rPr/>
              <w:t xml:space="preserve"> Program</w:t>
            </w:r>
            <w:r w:rsidR="00A8037D">
              <w:rPr/>
              <w:t xml:space="preserve"> </w:t>
            </w:r>
            <w:r w:rsidR="00A8037D">
              <w:rPr/>
              <w:t>p</w:t>
            </w:r>
            <w:r w:rsidR="00A8037D">
              <w:rPr/>
              <w:t>urchase</w:t>
            </w:r>
            <w:r w:rsidR="00A8037D">
              <w:rPr/>
              <w:t>d</w:t>
            </w:r>
            <w:r w:rsidR="00A8037D">
              <w:rPr/>
              <w:t xml:space="preserve"> </w:t>
            </w:r>
            <w:r w:rsidR="00A8037D">
              <w:rPr/>
              <w:t>additio</w:t>
            </w:r>
            <w:r w:rsidR="00A8037D">
              <w:rPr/>
              <w:t>na</w:t>
            </w:r>
            <w:r w:rsidR="00A8037D">
              <w:rPr/>
              <w:t>l</w:t>
            </w:r>
            <w:r w:rsidR="00A8037D">
              <w:rPr/>
              <w:t xml:space="preserve"> Ch</w:t>
            </w:r>
            <w:r w:rsidR="00A8037D">
              <w:rPr/>
              <w:t>romebooks to</w:t>
            </w:r>
            <w:r w:rsidR="00A8037D">
              <w:rPr/>
              <w:t xml:space="preserve"> </w:t>
            </w:r>
            <w:r w:rsidR="00A8037D">
              <w:rPr/>
              <w:t>assis</w:t>
            </w:r>
            <w:r w:rsidR="00A8037D">
              <w:rPr/>
              <w:t>t</w:t>
            </w:r>
            <w:r w:rsidR="00A8037D">
              <w:rPr/>
              <w:t xml:space="preserve"> our remote and hybrid learners. </w:t>
            </w:r>
          </w:p>
        </w:tc>
        <w:tc>
          <w:tcPr>
            <w:tcW w:w="3294" w:type="dxa"/>
            <w:tcBorders>
              <w:left w:val="single" w:color="auto" w:sz="6" w:space="0"/>
            </w:tcBorders>
            <w:tcMar/>
          </w:tcPr>
          <w:p w:rsidR="00490115" w:rsidP="004B41B0" w:rsidRDefault="00FD2F9E" w14:paraId="20AFB3A7" w14:textId="794974D2">
            <w:r w:rsidR="00FD2F9E">
              <w:rPr/>
              <w:t>Connections were made with</w:t>
            </w:r>
            <w:r w:rsidR="4C114471">
              <w:rPr/>
              <w:t xml:space="preserve"> the</w:t>
            </w:r>
            <w:r w:rsidR="00FD2F9E">
              <w:rPr/>
              <w:t xml:space="preserve"> </w:t>
            </w:r>
            <w:r w:rsidR="008A015C">
              <w:rPr/>
              <w:t>Cornerstone</w:t>
            </w:r>
            <w:r w:rsidR="53E73979">
              <w:rPr/>
              <w:t xml:space="preserve"> Revitalization Project</w:t>
            </w:r>
            <w:r w:rsidR="008A015C">
              <w:rPr/>
              <w:t xml:space="preserve"> for an AE </w:t>
            </w:r>
            <w:r w:rsidR="45782267">
              <w:rPr/>
              <w:t>MAPS (Mobilizing Alabama Pathways)</w:t>
            </w:r>
            <w:r w:rsidR="008A015C">
              <w:rPr/>
              <w:t xml:space="preserve"> course</w:t>
            </w:r>
            <w:r w:rsidR="51EA5575">
              <w:rPr/>
              <w:t>, Disability Rights and Resource for digital literacy and MAPS,</w:t>
            </w:r>
            <w:r w:rsidR="008A015C">
              <w:rPr/>
              <w:t xml:space="preserve"> </w:t>
            </w:r>
            <w:r w:rsidR="008A015C">
              <w:rPr/>
              <w:t>and with</w:t>
            </w:r>
            <w:r w:rsidR="1BE054A5">
              <w:rPr/>
              <w:t xml:space="preserve"> the</w:t>
            </w:r>
            <w:r w:rsidR="008A015C">
              <w:rPr/>
              <w:t xml:space="preserve"> Homewood Library for an ESL/IEL </w:t>
            </w:r>
            <w:r w:rsidR="4A7DE456">
              <w:rPr/>
              <w:t>summer months class</w:t>
            </w:r>
            <w:r w:rsidR="008A015C">
              <w:rPr/>
              <w:t>.</w:t>
            </w:r>
            <w:r w:rsidR="003C3F82">
              <w:rPr/>
              <w:t xml:space="preserve"> Also, the AE Director continue</w:t>
            </w:r>
            <w:r w:rsidR="007C3329">
              <w:rPr/>
              <w:t>d</w:t>
            </w:r>
            <w:r w:rsidR="003C3F82">
              <w:rPr/>
              <w:t xml:space="preserve"> to work with </w:t>
            </w:r>
            <w:r w:rsidR="009237A3">
              <w:rPr/>
              <w:t xml:space="preserve">JSCC </w:t>
            </w:r>
            <w:r w:rsidR="003C3F82">
              <w:rPr/>
              <w:t>Workforce Education</w:t>
            </w:r>
            <w:r w:rsidR="077BC1E4">
              <w:rPr/>
              <w:t xml:space="preserve">, JSCC Career Center, ALDOL, </w:t>
            </w:r>
            <w:r w:rsidR="38B58F59">
              <w:rPr/>
              <w:t>WIOA (Workforce Innovation and Opportunity Act)</w:t>
            </w:r>
            <w:r w:rsidR="077BC1E4">
              <w:rPr/>
              <w:t xml:space="preserve"> Youth Grant,</w:t>
            </w:r>
            <w:r w:rsidR="003C3F82">
              <w:rPr/>
              <w:t xml:space="preserve"> and JSCC Program Coordinators to promote co-enrollment of eligible </w:t>
            </w:r>
            <w:r w:rsidR="62965D04">
              <w:rPr/>
              <w:t xml:space="preserve">non-credit and </w:t>
            </w:r>
            <w:r w:rsidR="00BD7EF6">
              <w:rPr/>
              <w:t xml:space="preserve">post-secondary </w:t>
            </w:r>
            <w:r w:rsidR="003C3F82">
              <w:rPr/>
              <w:t>students into AE</w:t>
            </w:r>
            <w:r w:rsidR="34F52053">
              <w:rPr/>
              <w:t>.</w:t>
            </w:r>
          </w:p>
        </w:tc>
      </w:tr>
      <w:tr w:rsidR="00AF3550" w:rsidTr="0DD54709" w14:paraId="386796BD" w14:textId="77777777">
        <w:trPr>
          <w:trHeight w:val="54"/>
        </w:trPr>
        <w:tc>
          <w:tcPr>
            <w:tcW w:w="3294" w:type="dxa"/>
            <w:tcBorders>
              <w:right w:val="single" w:color="auto" w:sz="6" w:space="0"/>
            </w:tcBorders>
            <w:tcMar/>
          </w:tcPr>
          <w:p w:rsidR="00AF3550" w:rsidP="004E7B26" w:rsidRDefault="001E08E5" w14:paraId="1C4428E5" w14:textId="1CE42382">
            <w:r>
              <w:t>The Adult Education Program will assist learners with increasing their Educa</w:t>
            </w:r>
            <w:r w:rsidR="00D244C7">
              <w:t>tion</w:t>
            </w:r>
            <w:r w:rsidR="00FD63A7">
              <w:t xml:space="preserve">al Functioning </w:t>
            </w:r>
            <w:r w:rsidR="00FD63A7">
              <w:lastRenderedPageBreak/>
              <w:t>Level</w:t>
            </w:r>
            <w:r w:rsidR="009237A3">
              <w:t xml:space="preserve"> and obtaining Measurable Skills Gains</w:t>
            </w:r>
            <w:r w:rsidR="00FD63A7">
              <w:t xml:space="preserve">. </w:t>
            </w:r>
          </w:p>
        </w:tc>
        <w:tc>
          <w:tcPr>
            <w:tcW w:w="3294" w:type="dxa"/>
            <w:tcBorders>
              <w:left w:val="single" w:color="auto" w:sz="6" w:space="0"/>
              <w:right w:val="single" w:color="auto" w:sz="4" w:space="0"/>
            </w:tcBorders>
            <w:tcMar/>
          </w:tcPr>
          <w:p w:rsidR="00AF3550" w:rsidP="00691FF1" w:rsidRDefault="003B343A" w14:paraId="7DE18E2A" w14:textId="5371CFF1">
            <w:r w:rsidR="003B343A">
              <w:rPr/>
              <w:t>Federal and state funds awarded by ACCS</w:t>
            </w:r>
            <w:r w:rsidR="0069511E">
              <w:rPr/>
              <w:t xml:space="preserve"> were</w:t>
            </w:r>
            <w:r w:rsidR="003B343A">
              <w:rPr/>
              <w:t xml:space="preserve"> used to hire quality instructors. Funds </w:t>
            </w:r>
            <w:r w:rsidR="0069511E">
              <w:rPr/>
              <w:t>were also</w:t>
            </w:r>
            <w:r w:rsidR="003B343A">
              <w:rPr/>
              <w:t xml:space="preserve"> used </w:t>
            </w:r>
            <w:r w:rsidR="003B343A">
              <w:rPr/>
              <w:t>to purchase and support instructional software</w:t>
            </w:r>
            <w:r w:rsidR="00622D97">
              <w:rPr/>
              <w:t xml:space="preserve">. </w:t>
            </w:r>
            <w:r w:rsidR="00113D43">
              <w:rPr/>
              <w:t xml:space="preserve">The </w:t>
            </w:r>
            <w:r w:rsidR="00622D97">
              <w:rPr/>
              <w:t xml:space="preserve">AE Director </w:t>
            </w:r>
            <w:r w:rsidR="00933180">
              <w:rPr/>
              <w:t>explore</w:t>
            </w:r>
            <w:r w:rsidR="00B26096">
              <w:rPr/>
              <w:t>d</w:t>
            </w:r>
            <w:r w:rsidR="00933180">
              <w:rPr/>
              <w:t xml:space="preserve"> software</w:t>
            </w:r>
            <w:r w:rsidR="00B26096">
              <w:rPr/>
              <w:t xml:space="preserve"> options</w:t>
            </w:r>
            <w:r w:rsidR="00933180">
              <w:rPr/>
              <w:t xml:space="preserve"> to </w:t>
            </w:r>
            <w:r w:rsidR="00622D97">
              <w:rPr/>
              <w:t xml:space="preserve">ensure that </w:t>
            </w:r>
            <w:r w:rsidR="00B26096">
              <w:rPr/>
              <w:t>materials were State</w:t>
            </w:r>
            <w:r w:rsidR="00622D97">
              <w:rPr/>
              <w:t xml:space="preserve"> approved</w:t>
            </w:r>
            <w:r w:rsidR="00F8331B">
              <w:rPr/>
              <w:t>,</w:t>
            </w:r>
            <w:r w:rsidR="00622D97">
              <w:rPr/>
              <w:t xml:space="preserve"> and</w:t>
            </w:r>
            <w:r w:rsidR="006B221D">
              <w:rPr/>
              <w:t xml:space="preserve"> </w:t>
            </w:r>
            <w:r w:rsidR="0944C78F">
              <w:rPr/>
              <w:t xml:space="preserve">that programs </w:t>
            </w:r>
            <w:r w:rsidR="00B26096">
              <w:rPr/>
              <w:t>had r</w:t>
            </w:r>
            <w:r w:rsidR="00622D97">
              <w:rPr/>
              <w:t>esearch supporting student advancement.</w:t>
            </w:r>
          </w:p>
        </w:tc>
        <w:tc>
          <w:tcPr>
            <w:tcW w:w="3294" w:type="dxa"/>
            <w:tcBorders>
              <w:left w:val="single" w:color="auto" w:sz="4" w:space="0"/>
              <w:right w:val="single" w:color="auto" w:sz="6" w:space="0"/>
            </w:tcBorders>
            <w:tcMar/>
          </w:tcPr>
          <w:p w:rsidR="00AF3550" w:rsidP="00A03A9C" w:rsidRDefault="002A6047" w14:paraId="5117CB35" w14:textId="0841842F">
            <w:r w:rsidR="002A6047">
              <w:rPr/>
              <w:t xml:space="preserve">The </w:t>
            </w:r>
            <w:r w:rsidR="00A8037D">
              <w:rPr/>
              <w:t>overall</w:t>
            </w:r>
            <w:r w:rsidR="009237A3">
              <w:rPr/>
              <w:t xml:space="preserve"> </w:t>
            </w:r>
            <w:r w:rsidR="4B9C8259">
              <w:rPr/>
              <w:t>EFL (Educational Functioning Level)</w:t>
            </w:r>
            <w:r w:rsidR="009237A3">
              <w:rPr/>
              <w:t xml:space="preserve"> </w:t>
            </w:r>
            <w:r w:rsidR="4480AB78">
              <w:rPr/>
              <w:t xml:space="preserve">for the </w:t>
            </w:r>
            <w:r w:rsidR="249E879D">
              <w:rPr/>
              <w:t>PY (Program Year)</w:t>
            </w:r>
            <w:r w:rsidR="4480AB78">
              <w:rPr/>
              <w:t xml:space="preserve"> is </w:t>
            </w:r>
            <w:r w:rsidR="05DBC647">
              <w:rPr/>
              <w:t>22</w:t>
            </w:r>
            <w:r w:rsidR="009237A3">
              <w:rPr/>
              <w:t>% and overall</w:t>
            </w:r>
            <w:r w:rsidR="00A8037D">
              <w:rPr/>
              <w:t xml:space="preserve"> </w:t>
            </w:r>
            <w:r w:rsidR="14AA81E6">
              <w:rPr/>
              <w:t>MSG (Measurable Skills Gain)</w:t>
            </w:r>
            <w:r w:rsidR="00A8037D">
              <w:rPr/>
              <w:t xml:space="preserve"> </w:t>
            </w:r>
            <w:r w:rsidR="0009E73B">
              <w:rPr/>
              <w:t>is</w:t>
            </w:r>
            <w:r w:rsidR="00A8037D">
              <w:rPr/>
              <w:t xml:space="preserve"> </w:t>
            </w:r>
            <w:r w:rsidR="20FA405F">
              <w:rPr/>
              <w:t>39%</w:t>
            </w:r>
            <w:r w:rsidR="009237A3">
              <w:rPr/>
              <w:t xml:space="preserve">. </w:t>
            </w:r>
            <w:r w:rsidR="00A8037D">
              <w:rPr/>
              <w:t xml:space="preserve">ACCS instituted new prerequisites for </w:t>
            </w:r>
            <w:r w:rsidR="00A8037D">
              <w:rPr/>
              <w:t>program completion</w:t>
            </w:r>
            <w:r w:rsidR="47ACDA1D">
              <w:rPr/>
              <w:t xml:space="preserve">s for increases in </w:t>
            </w:r>
            <w:r w:rsidR="68973A27">
              <w:rPr/>
              <w:t>MSGs (Measurable Skills Gain) even</w:t>
            </w:r>
            <w:r w:rsidR="00A8037D">
              <w:rPr/>
              <w:t xml:space="preserve"> if students did not make an EFL (TABE post-test gain). </w:t>
            </w:r>
            <w:r w:rsidR="4EFC686D">
              <w:rPr/>
              <w:t xml:space="preserve">309 students completed Career Pathways, 451 </w:t>
            </w:r>
            <w:r w:rsidR="607BA20C">
              <w:rPr/>
              <w:t xml:space="preserve">students </w:t>
            </w:r>
            <w:r w:rsidR="54CF78F9">
              <w:rPr/>
              <w:t>earned WorkKeys certificates</w:t>
            </w:r>
            <w:r w:rsidR="4EFC686D">
              <w:rPr/>
              <w:t xml:space="preserve">, </w:t>
            </w:r>
            <w:r w:rsidR="38EA7C7D">
              <w:rPr/>
              <w:t>and students</w:t>
            </w:r>
            <w:r w:rsidR="4EFC686D">
              <w:rPr/>
              <w:t xml:space="preserve"> earned 3,014 certificates.</w:t>
            </w:r>
            <w:r w:rsidR="008A015C">
              <w:rPr/>
              <w:t xml:space="preserve"> </w:t>
            </w:r>
            <w:r w:rsidR="41A1DD1D">
              <w:rPr/>
              <w:t xml:space="preserve">The program had 65 </w:t>
            </w:r>
            <w:r w:rsidR="5FB800BB">
              <w:rPr/>
              <w:t>AWSP (Alabama Workforce Stabilization Program)</w:t>
            </w:r>
            <w:r w:rsidR="41A1DD1D">
              <w:rPr/>
              <w:t xml:space="preserve"> students.</w:t>
            </w:r>
            <w:r w:rsidR="2600024E">
              <w:rPr/>
              <w:t xml:space="preserve"> </w:t>
            </w:r>
            <w:r w:rsidR="008A015C">
              <w:rPr/>
              <w:t xml:space="preserve">Additionally, 104 students obtained a secondary credential or </w:t>
            </w:r>
            <w:r w:rsidR="5BE3E6FC">
              <w:rPr/>
              <w:t>GED (General Educational Development)</w:t>
            </w:r>
            <w:bookmarkStart w:name="_Int_FsIFh7YH" w:id="3469383"/>
            <w:r w:rsidR="008A015C">
              <w:rPr/>
              <w:t xml:space="preserve">.  </w:t>
            </w:r>
            <w:bookmarkEnd w:id="3469383"/>
            <w:r w:rsidR="008A015C">
              <w:rPr/>
              <w:t xml:space="preserve"> </w:t>
            </w:r>
          </w:p>
        </w:tc>
        <w:tc>
          <w:tcPr>
            <w:tcW w:w="3294" w:type="dxa"/>
            <w:tcBorders>
              <w:left w:val="single" w:color="auto" w:sz="6" w:space="0"/>
            </w:tcBorders>
            <w:tcMar/>
          </w:tcPr>
          <w:p w:rsidR="00AF3550" w:rsidP="004B41B0" w:rsidRDefault="0051234A" w14:paraId="18DB841A" w14:textId="2D994FBC">
            <w:r w:rsidR="0051234A">
              <w:rPr/>
              <w:t xml:space="preserve">Professional development is conducted </w:t>
            </w:r>
            <w:r w:rsidR="000A4AAF">
              <w:rPr/>
              <w:t xml:space="preserve">three times per </w:t>
            </w:r>
            <w:r w:rsidR="2022BD4A">
              <w:rPr/>
              <w:t>year with</w:t>
            </w:r>
            <w:r w:rsidR="0051234A">
              <w:rPr/>
              <w:t xml:space="preserve"> a focus on </w:t>
            </w:r>
            <w:r w:rsidR="000A4AAF">
              <w:rPr/>
              <w:t xml:space="preserve">best practices and </w:t>
            </w:r>
            <w:r w:rsidR="000A4AAF">
              <w:rPr/>
              <w:t xml:space="preserve">improving student outcomes including </w:t>
            </w:r>
            <w:r w:rsidR="0051234A">
              <w:rPr/>
              <w:t>Measurable Skills Gains (MSG’s)</w:t>
            </w:r>
            <w:bookmarkStart w:name="_Int_PQpTxB5W" w:id="1192568376"/>
            <w:r w:rsidR="0051234A">
              <w:rPr/>
              <w:t xml:space="preserve">. </w:t>
            </w:r>
            <w:r w:rsidR="008A015C">
              <w:rPr/>
              <w:t xml:space="preserve"> </w:t>
            </w:r>
            <w:r w:rsidR="1AF324B3">
              <w:rPr/>
              <w:t>The program continued</w:t>
            </w:r>
            <w:bookmarkEnd w:id="1192568376"/>
            <w:r w:rsidR="008A015C">
              <w:rPr/>
              <w:t xml:space="preserve"> </w:t>
            </w:r>
            <w:r w:rsidR="008A015C">
              <w:rPr/>
              <w:t xml:space="preserve">to work with instructors and students to ensure that post-tests are given when students have </w:t>
            </w:r>
            <w:r w:rsidR="008A015C">
              <w:rPr/>
              <w:t>accrued</w:t>
            </w:r>
            <w:r w:rsidR="008A015C">
              <w:rPr/>
              <w:t xml:space="preserve"> </w:t>
            </w:r>
            <w:r w:rsidR="169192CD">
              <w:rPr/>
              <w:t xml:space="preserve">requisite attendance hours. </w:t>
            </w:r>
            <w:r w:rsidR="169192CD">
              <w:rPr/>
              <w:t>Utilization</w:t>
            </w:r>
            <w:r w:rsidR="169192CD">
              <w:rPr/>
              <w:t xml:space="preserve"> of TIPS requests allowed for expedited posttests. </w:t>
            </w:r>
            <w:r w:rsidR="008A015C">
              <w:rPr/>
              <w:t xml:space="preserve">Additionally, </w:t>
            </w:r>
            <w:r w:rsidR="0CF52856">
              <w:rPr/>
              <w:t>the</w:t>
            </w:r>
            <w:r w:rsidR="7A45974B">
              <w:rPr/>
              <w:t xml:space="preserve"> AE Program offered T</w:t>
            </w:r>
            <w:r w:rsidR="008A015C">
              <w:rPr/>
              <w:t xml:space="preserve">ABE testing and onsite WorkKeys testing </w:t>
            </w:r>
            <w:r w:rsidR="59A5E877">
              <w:rPr/>
              <w:t xml:space="preserve">on select weekends for </w:t>
            </w:r>
            <w:r w:rsidR="557909AE">
              <w:rPr/>
              <w:t>increased</w:t>
            </w:r>
            <w:r w:rsidR="59A5E877">
              <w:rPr/>
              <w:t xml:space="preserve"> </w:t>
            </w:r>
            <w:r w:rsidR="1CF1B3D7">
              <w:rPr/>
              <w:t>accessibility</w:t>
            </w:r>
            <w:r w:rsidR="008A015C">
              <w:rPr/>
              <w:t xml:space="preserve">. </w:t>
            </w:r>
            <w:r w:rsidR="007214B5">
              <w:rPr/>
              <w:t xml:space="preserve">The post-test rate improved to 45%, </w:t>
            </w:r>
            <w:r w:rsidR="007214B5">
              <w:rPr/>
              <w:t>an indication</w:t>
            </w:r>
            <w:r w:rsidR="007214B5">
              <w:rPr/>
              <w:t xml:space="preserve"> that implemented strategies have an impact. </w:t>
            </w:r>
          </w:p>
        </w:tc>
      </w:tr>
      <w:tr w:rsidR="004C5A74" w:rsidTr="0DD54709" w14:paraId="25C57FB5" w14:textId="77777777">
        <w:trPr>
          <w:trHeight w:val="54"/>
        </w:trPr>
        <w:tc>
          <w:tcPr>
            <w:tcW w:w="3294" w:type="dxa"/>
            <w:tcBorders>
              <w:right w:val="single" w:color="auto" w:sz="6" w:space="0"/>
            </w:tcBorders>
            <w:tcMar/>
          </w:tcPr>
          <w:p w:rsidR="004C5A74" w:rsidP="004E7B26" w:rsidRDefault="004C5A74" w14:paraId="18CEE1EC" w14:textId="3A3D55BE">
            <w:r>
              <w:lastRenderedPageBreak/>
              <w:t xml:space="preserve">The Adult Education Program will respond to community needs </w:t>
            </w:r>
            <w:r w:rsidR="008A015C">
              <w:t>by providing</w:t>
            </w:r>
            <w:r>
              <w:t xml:space="preserve"> literary services in areas not currently served or underserved. </w:t>
            </w:r>
          </w:p>
        </w:tc>
        <w:tc>
          <w:tcPr>
            <w:tcW w:w="3294" w:type="dxa"/>
            <w:tcBorders>
              <w:left w:val="single" w:color="auto" w:sz="6" w:space="0"/>
              <w:right w:val="single" w:color="auto" w:sz="4" w:space="0"/>
            </w:tcBorders>
            <w:tcMar/>
          </w:tcPr>
          <w:p w:rsidR="004C5A74" w:rsidP="00691FF1" w:rsidRDefault="00F8331B" w14:paraId="53BDEAAF" w14:textId="1E0B9B87">
            <w:r>
              <w:t xml:space="preserve">Federal and state funds awarded by ACCS were used. </w:t>
            </w:r>
            <w:r w:rsidR="00C934A8">
              <w:t>Institutional funds were used to support indirect services.</w:t>
            </w:r>
          </w:p>
        </w:tc>
        <w:tc>
          <w:tcPr>
            <w:tcW w:w="3294" w:type="dxa"/>
            <w:tcBorders>
              <w:left w:val="single" w:color="auto" w:sz="4" w:space="0"/>
              <w:right w:val="single" w:color="auto" w:sz="6" w:space="0"/>
            </w:tcBorders>
            <w:tcMar/>
          </w:tcPr>
          <w:p w:rsidR="004C5A74" w:rsidP="00A03A9C" w:rsidRDefault="009237A3" w14:paraId="37E10E25" w14:textId="4EA2E2E7">
            <w:r w:rsidR="009237A3">
              <w:rPr/>
              <w:t xml:space="preserve">The AE Director </w:t>
            </w:r>
            <w:r w:rsidR="009B52BF">
              <w:rPr/>
              <w:t xml:space="preserve">worked </w:t>
            </w:r>
            <w:r w:rsidR="008A015C">
              <w:rPr/>
              <w:t xml:space="preserve">with Jefferson State Community College to hold a literacy event. </w:t>
            </w:r>
            <w:r w:rsidR="5E1A35B3">
              <w:rPr/>
              <w:t>The Program also worked with the Literacy Council.</w:t>
            </w:r>
          </w:p>
        </w:tc>
        <w:tc>
          <w:tcPr>
            <w:tcW w:w="3294" w:type="dxa"/>
            <w:tcBorders>
              <w:left w:val="single" w:color="auto" w:sz="6" w:space="0"/>
            </w:tcBorders>
            <w:tcMar/>
          </w:tcPr>
          <w:p w:rsidR="004C5A74" w:rsidP="004B41B0" w:rsidRDefault="006A2E75" w14:paraId="4FE881B9" w14:textId="75490E23">
            <w:r>
              <w:t>Literacy</w:t>
            </w:r>
            <w:r w:rsidR="00C934A8">
              <w:t xml:space="preserve"> events were held on Campus</w:t>
            </w:r>
            <w:r w:rsidR="008A015C">
              <w:t xml:space="preserve">, remotely, and at Huffman Academy </w:t>
            </w:r>
            <w:r>
              <w:t xml:space="preserve">to respond to the literacy needs </w:t>
            </w:r>
            <w:r w:rsidR="00131832">
              <w:t>of the community. The AE</w:t>
            </w:r>
            <w:r>
              <w:t xml:space="preserve"> Director continued to work with community partners to increase literacy services. </w:t>
            </w:r>
            <w:r w:rsidR="006B221D">
              <w:t xml:space="preserve">Literacy events were also connected to other JSCC events to maximize engagement. </w:t>
            </w:r>
          </w:p>
        </w:tc>
      </w:tr>
      <w:tr w:rsidR="00490115" w:rsidTr="0DD54709" w14:paraId="7D3718E6" w14:textId="77777777">
        <w:tc>
          <w:tcPr>
            <w:tcW w:w="6588" w:type="dxa"/>
            <w:gridSpan w:val="2"/>
            <w:tcBorders>
              <w:right w:val="single" w:color="auto" w:sz="4" w:space="0"/>
            </w:tcBorders>
            <w:tcMar/>
          </w:tcPr>
          <w:p w:rsidRPr="002A44E2" w:rsidR="00490115" w:rsidP="00691FF1" w:rsidRDefault="00490115" w14:paraId="0396AAEA" w14:textId="09DB68D3">
            <w:pPr>
              <w:rPr>
                <w:sz w:val="12"/>
                <w:szCs w:val="12"/>
              </w:rPr>
            </w:pPr>
          </w:p>
          <w:p w:rsidRPr="002A44E2" w:rsidR="00490115" w:rsidP="00691FF1" w:rsidRDefault="00490115" w14:paraId="46277E04" w14:textId="77777777">
            <w:pPr>
              <w:rPr>
                <w:b/>
                <w:sz w:val="12"/>
                <w:szCs w:val="12"/>
              </w:rPr>
            </w:pPr>
          </w:p>
          <w:p w:rsidR="00490115" w:rsidP="0DD54709" w:rsidRDefault="00490115" w14:paraId="741A4354" w14:textId="70F04B37">
            <w:pPr>
              <w:pStyle w:val="Normal"/>
              <w:spacing w:before="0" w:beforeAutospacing="off" w:after="0" w:afterAutospacing="off"/>
              <w:rPr>
                <w:b w:val="1"/>
                <w:bCs w:val="1"/>
              </w:rPr>
            </w:pPr>
            <w:r w:rsidRPr="0DD54709" w:rsidR="00490115">
              <w:rPr>
                <w:b w:val="1"/>
                <w:bCs w:val="1"/>
              </w:rPr>
              <w:t>S</w:t>
            </w:r>
            <w:r w:rsidRPr="0DD54709" w:rsidR="00490115">
              <w:rPr>
                <w:b w:val="1"/>
                <w:bCs w:val="1"/>
              </w:rPr>
              <w:t>ubmission date:</w:t>
            </w:r>
            <w:r w:rsidRPr="0DD54709" w:rsidR="004E7B26">
              <w:rPr>
                <w:b w:val="1"/>
                <w:bCs w:val="1"/>
              </w:rPr>
              <w:t xml:space="preserve"> </w:t>
            </w:r>
            <w:r w:rsidR="3F5112E1">
              <w:rPr>
                <w:b w:val="0"/>
                <w:bCs w:val="0"/>
              </w:rPr>
              <w:t>August 21, 2023</w:t>
            </w:r>
          </w:p>
        </w:tc>
        <w:tc>
          <w:tcPr>
            <w:tcW w:w="6588" w:type="dxa"/>
            <w:gridSpan w:val="2"/>
            <w:tcBorders>
              <w:left w:val="single" w:color="auto" w:sz="4" w:space="0"/>
            </w:tcBorders>
            <w:tcMar/>
          </w:tcPr>
          <w:p w:rsidRPr="00490115" w:rsidR="00490115" w:rsidP="00691FF1" w:rsidRDefault="00490115" w14:paraId="2E95F297" w14:textId="77777777">
            <w:pPr>
              <w:rPr>
                <w:sz w:val="12"/>
                <w:szCs w:val="12"/>
              </w:rPr>
            </w:pPr>
          </w:p>
          <w:p w:rsidRPr="00490115" w:rsidR="00490115" w:rsidP="00691FF1" w:rsidRDefault="00490115" w14:paraId="4988551C" w14:textId="77777777">
            <w:pPr>
              <w:rPr>
                <w:sz w:val="12"/>
                <w:szCs w:val="12"/>
              </w:rPr>
            </w:pPr>
          </w:p>
          <w:p w:rsidR="00490115" w:rsidP="0DD54709" w:rsidRDefault="00490115" w14:paraId="0E35ED3D" w14:textId="36C66CF4">
            <w:pPr>
              <w:rPr>
                <w:b w:val="1"/>
                <w:bCs w:val="1"/>
              </w:rPr>
            </w:pPr>
            <w:r w:rsidRPr="0DD54709" w:rsidR="00490115">
              <w:rPr>
                <w:b w:val="1"/>
                <w:bCs w:val="1"/>
              </w:rPr>
              <w:t>Submitted by:</w:t>
            </w:r>
            <w:r w:rsidRPr="0DD54709" w:rsidR="004E7B26">
              <w:rPr>
                <w:b w:val="1"/>
                <w:bCs w:val="1"/>
              </w:rPr>
              <w:t xml:space="preserve"> </w:t>
            </w:r>
            <w:r w:rsidR="00FE6567">
              <w:rPr>
                <w:b w:val="0"/>
                <w:bCs w:val="0"/>
              </w:rPr>
              <w:t>Tamara Payne</w:t>
            </w:r>
            <w:r w:rsidR="008A015C">
              <w:rPr>
                <w:b w:val="0"/>
                <w:bCs w:val="0"/>
              </w:rPr>
              <w:t>, Ph. D</w:t>
            </w:r>
          </w:p>
          <w:p w:rsidRPr="002A44E2" w:rsidR="00490115" w:rsidP="00691FF1" w:rsidRDefault="00490115" w14:paraId="45DAFD60" w14:textId="77777777">
            <w:pPr>
              <w:rPr>
                <w:b/>
                <w:sz w:val="8"/>
                <w:szCs w:val="8"/>
              </w:rPr>
            </w:pPr>
          </w:p>
        </w:tc>
      </w:tr>
    </w:tbl>
    <w:p w:rsidR="00397D38" w:rsidRDefault="00397D38" w14:paraId="45C32544" w14:textId="77777777"/>
    <w:p w:rsidRPr="008A015C" w:rsidR="008A015C" w:rsidP="008A015C" w:rsidRDefault="008A015C" w14:paraId="08709505" w14:textId="77777777"/>
    <w:p w:rsidRPr="008A015C" w:rsidR="008A015C" w:rsidP="008A015C" w:rsidRDefault="008A015C" w14:paraId="599D99F5" w14:textId="77777777"/>
    <w:p w:rsidRPr="008A015C" w:rsidR="008A015C" w:rsidP="008A015C" w:rsidRDefault="008A015C" w14:paraId="36B93033" w14:textId="77777777"/>
    <w:p w:rsidRPr="008A015C" w:rsidR="008A015C" w:rsidP="008A015C" w:rsidRDefault="008A015C" w14:paraId="7B9BC361" w14:textId="21A35175">
      <w:pPr>
        <w:tabs>
          <w:tab w:val="left" w:pos="12068"/>
        </w:tabs>
      </w:pPr>
      <w:r>
        <w:tab/>
      </w:r>
    </w:p>
    <w:sectPr w:rsidRPr="008A015C" w:rsidR="008A015C" w:rsidSect="00102B7D">
      <w:footerReference w:type="default" r:id="rId12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53E" w:rsidP="00A77932" w:rsidRDefault="00C0553E" w14:paraId="5243ABBF" w14:textId="77777777">
      <w:pPr>
        <w:spacing w:after="0" w:line="240" w:lineRule="auto"/>
      </w:pPr>
      <w:r>
        <w:separator/>
      </w:r>
    </w:p>
  </w:endnote>
  <w:endnote w:type="continuationSeparator" w:id="0">
    <w:p w:rsidR="00C0553E" w:rsidP="00A77932" w:rsidRDefault="00C0553E" w14:paraId="41D042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932" w:rsidRDefault="000F0938" w14:paraId="6ED01EFF" w14:textId="7822F885">
    <w:pPr>
      <w:pStyle w:val="Footer"/>
    </w:pPr>
    <w:r>
      <w:tab/>
    </w:r>
    <w:r>
      <w:tab/>
    </w:r>
    <w:r>
      <w:tab/>
    </w:r>
    <w:r>
      <w:tab/>
    </w:r>
    <w:r>
      <w:tab/>
    </w:r>
    <w:r w:rsidR="008A015C">
      <w:t>July 2023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53E" w:rsidP="00A77932" w:rsidRDefault="00C0553E" w14:paraId="6924EA9E" w14:textId="77777777">
      <w:pPr>
        <w:spacing w:after="0" w:line="240" w:lineRule="auto"/>
      </w:pPr>
      <w:r>
        <w:separator/>
      </w:r>
    </w:p>
  </w:footnote>
  <w:footnote w:type="continuationSeparator" w:id="0">
    <w:p w:rsidR="00C0553E" w:rsidP="00A77932" w:rsidRDefault="00C0553E" w14:paraId="4992AA47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FsIFh7YH" int2:invalidationBookmarkName="" int2:hashCode="RoHRJMxsS3O6q/" int2:id="JlCjKsGc">
      <int2:state int2:type="AugLoop_Text_Critique" int2:value="Rejected"/>
    </int2:bookmark>
    <int2:bookmark int2:bookmarkName="_Int_PQpTxB5W" int2:invalidationBookmarkName="" int2:hashCode="RoHRJMxsS3O6q/" int2:id="s7cg5eD1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34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8"/>
    <w:rsid w:val="00037226"/>
    <w:rsid w:val="000476CF"/>
    <w:rsid w:val="0009E73B"/>
    <w:rsid w:val="000A4AAF"/>
    <w:rsid w:val="000C38AA"/>
    <w:rsid w:val="000D56DF"/>
    <w:rsid w:val="000F0938"/>
    <w:rsid w:val="00102B7D"/>
    <w:rsid w:val="00113D43"/>
    <w:rsid w:val="00120D82"/>
    <w:rsid w:val="00131832"/>
    <w:rsid w:val="00155EA4"/>
    <w:rsid w:val="00160462"/>
    <w:rsid w:val="0017461F"/>
    <w:rsid w:val="001A1848"/>
    <w:rsid w:val="001A778A"/>
    <w:rsid w:val="001E08E5"/>
    <w:rsid w:val="00200D78"/>
    <w:rsid w:val="002162ED"/>
    <w:rsid w:val="00217821"/>
    <w:rsid w:val="00223D12"/>
    <w:rsid w:val="00272EDE"/>
    <w:rsid w:val="00282FCA"/>
    <w:rsid w:val="002A44E2"/>
    <w:rsid w:val="002A6047"/>
    <w:rsid w:val="002B0CB8"/>
    <w:rsid w:val="002D3CB9"/>
    <w:rsid w:val="002F000E"/>
    <w:rsid w:val="00340A60"/>
    <w:rsid w:val="00345C2B"/>
    <w:rsid w:val="00395ADD"/>
    <w:rsid w:val="00396805"/>
    <w:rsid w:val="00397D38"/>
    <w:rsid w:val="003B343A"/>
    <w:rsid w:val="003C3F82"/>
    <w:rsid w:val="003C4C3D"/>
    <w:rsid w:val="003D5223"/>
    <w:rsid w:val="004632B5"/>
    <w:rsid w:val="00465D08"/>
    <w:rsid w:val="00490115"/>
    <w:rsid w:val="004B41B0"/>
    <w:rsid w:val="004C5A74"/>
    <w:rsid w:val="004D2489"/>
    <w:rsid w:val="004E7B26"/>
    <w:rsid w:val="00500CE7"/>
    <w:rsid w:val="00503931"/>
    <w:rsid w:val="0051234A"/>
    <w:rsid w:val="005163F6"/>
    <w:rsid w:val="00526591"/>
    <w:rsid w:val="0054350A"/>
    <w:rsid w:val="005561D8"/>
    <w:rsid w:val="005641CB"/>
    <w:rsid w:val="00596C5C"/>
    <w:rsid w:val="005C60F3"/>
    <w:rsid w:val="00622D97"/>
    <w:rsid w:val="00642B72"/>
    <w:rsid w:val="00656D67"/>
    <w:rsid w:val="00662F1A"/>
    <w:rsid w:val="00686A28"/>
    <w:rsid w:val="00691FF1"/>
    <w:rsid w:val="0069511E"/>
    <w:rsid w:val="00695AA6"/>
    <w:rsid w:val="006A149D"/>
    <w:rsid w:val="006A2E75"/>
    <w:rsid w:val="006A4424"/>
    <w:rsid w:val="006B221D"/>
    <w:rsid w:val="006C0520"/>
    <w:rsid w:val="006C7002"/>
    <w:rsid w:val="006D4756"/>
    <w:rsid w:val="007214B5"/>
    <w:rsid w:val="007469CA"/>
    <w:rsid w:val="007715B5"/>
    <w:rsid w:val="007776C8"/>
    <w:rsid w:val="00780805"/>
    <w:rsid w:val="00797138"/>
    <w:rsid w:val="007A555C"/>
    <w:rsid w:val="007C3329"/>
    <w:rsid w:val="0080216C"/>
    <w:rsid w:val="0081653C"/>
    <w:rsid w:val="00853D98"/>
    <w:rsid w:val="00853FAD"/>
    <w:rsid w:val="00891F7D"/>
    <w:rsid w:val="008A015C"/>
    <w:rsid w:val="008A3BC9"/>
    <w:rsid w:val="008A5665"/>
    <w:rsid w:val="008B044F"/>
    <w:rsid w:val="009237A3"/>
    <w:rsid w:val="00933180"/>
    <w:rsid w:val="00951793"/>
    <w:rsid w:val="0095563F"/>
    <w:rsid w:val="0096533A"/>
    <w:rsid w:val="009B52BF"/>
    <w:rsid w:val="009C1BB0"/>
    <w:rsid w:val="009C2DC1"/>
    <w:rsid w:val="00A03A9C"/>
    <w:rsid w:val="00A322B3"/>
    <w:rsid w:val="00A77932"/>
    <w:rsid w:val="00A8037D"/>
    <w:rsid w:val="00A848A8"/>
    <w:rsid w:val="00A9699F"/>
    <w:rsid w:val="00AD584C"/>
    <w:rsid w:val="00AF3550"/>
    <w:rsid w:val="00AF77A8"/>
    <w:rsid w:val="00B0579E"/>
    <w:rsid w:val="00B12BB3"/>
    <w:rsid w:val="00B26096"/>
    <w:rsid w:val="00B35E39"/>
    <w:rsid w:val="00B81C69"/>
    <w:rsid w:val="00B93086"/>
    <w:rsid w:val="00BD7EF6"/>
    <w:rsid w:val="00C0553E"/>
    <w:rsid w:val="00C60639"/>
    <w:rsid w:val="00C83ADD"/>
    <w:rsid w:val="00C8624F"/>
    <w:rsid w:val="00C934A8"/>
    <w:rsid w:val="00CB49C1"/>
    <w:rsid w:val="00CC1A7C"/>
    <w:rsid w:val="00CC6702"/>
    <w:rsid w:val="00D2193E"/>
    <w:rsid w:val="00D244C7"/>
    <w:rsid w:val="00D40228"/>
    <w:rsid w:val="00D554AC"/>
    <w:rsid w:val="00D9795E"/>
    <w:rsid w:val="00DA439B"/>
    <w:rsid w:val="00DE4E8D"/>
    <w:rsid w:val="00E4646F"/>
    <w:rsid w:val="00E85297"/>
    <w:rsid w:val="00EC0E17"/>
    <w:rsid w:val="00F6C401"/>
    <w:rsid w:val="00F8331B"/>
    <w:rsid w:val="00F90C0D"/>
    <w:rsid w:val="00FA5C76"/>
    <w:rsid w:val="00FD2F9E"/>
    <w:rsid w:val="00FD63A7"/>
    <w:rsid w:val="00FE6567"/>
    <w:rsid w:val="02929462"/>
    <w:rsid w:val="035C9873"/>
    <w:rsid w:val="03D85C55"/>
    <w:rsid w:val="05DBC647"/>
    <w:rsid w:val="0606D72E"/>
    <w:rsid w:val="077BC1E4"/>
    <w:rsid w:val="08BC7A50"/>
    <w:rsid w:val="0944C78F"/>
    <w:rsid w:val="0A847DEA"/>
    <w:rsid w:val="0AB629A3"/>
    <w:rsid w:val="0CF52856"/>
    <w:rsid w:val="0D00A611"/>
    <w:rsid w:val="0D76C316"/>
    <w:rsid w:val="0DD54709"/>
    <w:rsid w:val="0E11E913"/>
    <w:rsid w:val="10AE63D8"/>
    <w:rsid w:val="14AA81E6"/>
    <w:rsid w:val="14D3EDCE"/>
    <w:rsid w:val="1512BF3C"/>
    <w:rsid w:val="169192CD"/>
    <w:rsid w:val="1AF324B3"/>
    <w:rsid w:val="1BE054A5"/>
    <w:rsid w:val="1CF1B3D7"/>
    <w:rsid w:val="1DDA2FFC"/>
    <w:rsid w:val="1E968A42"/>
    <w:rsid w:val="2022BD4A"/>
    <w:rsid w:val="20FA405F"/>
    <w:rsid w:val="2309DBE5"/>
    <w:rsid w:val="249E879D"/>
    <w:rsid w:val="2600024E"/>
    <w:rsid w:val="268953AE"/>
    <w:rsid w:val="272A127E"/>
    <w:rsid w:val="2A39B475"/>
    <w:rsid w:val="2A455A1A"/>
    <w:rsid w:val="2A92928D"/>
    <w:rsid w:val="33D31403"/>
    <w:rsid w:val="34F52053"/>
    <w:rsid w:val="3626054D"/>
    <w:rsid w:val="37647DF3"/>
    <w:rsid w:val="38B58F59"/>
    <w:rsid w:val="38EA7C7D"/>
    <w:rsid w:val="3F5112E1"/>
    <w:rsid w:val="3F94B861"/>
    <w:rsid w:val="4072607E"/>
    <w:rsid w:val="41A1DD1D"/>
    <w:rsid w:val="41CA75DB"/>
    <w:rsid w:val="4480AB78"/>
    <w:rsid w:val="455053AA"/>
    <w:rsid w:val="45782267"/>
    <w:rsid w:val="47ACDA1D"/>
    <w:rsid w:val="4A7DE456"/>
    <w:rsid w:val="4B9C8259"/>
    <w:rsid w:val="4C114471"/>
    <w:rsid w:val="4D980799"/>
    <w:rsid w:val="4EFC686D"/>
    <w:rsid w:val="51EA5575"/>
    <w:rsid w:val="5360711C"/>
    <w:rsid w:val="53E73979"/>
    <w:rsid w:val="54CF78F9"/>
    <w:rsid w:val="557909AE"/>
    <w:rsid w:val="58ECFB68"/>
    <w:rsid w:val="592210DC"/>
    <w:rsid w:val="59A5E877"/>
    <w:rsid w:val="59B554D6"/>
    <w:rsid w:val="5B14832D"/>
    <w:rsid w:val="5B512537"/>
    <w:rsid w:val="5BE3E6FC"/>
    <w:rsid w:val="5CE69245"/>
    <w:rsid w:val="5CECF598"/>
    <w:rsid w:val="5D3B6F73"/>
    <w:rsid w:val="5D7806F8"/>
    <w:rsid w:val="5E1A35B3"/>
    <w:rsid w:val="5E4D7565"/>
    <w:rsid w:val="5E775F67"/>
    <w:rsid w:val="5E88C5F9"/>
    <w:rsid w:val="5FB800BB"/>
    <w:rsid w:val="607BA20C"/>
    <w:rsid w:val="610414B4"/>
    <w:rsid w:val="62965D04"/>
    <w:rsid w:val="64F8077D"/>
    <w:rsid w:val="652E38DF"/>
    <w:rsid w:val="6629F802"/>
    <w:rsid w:val="67B59825"/>
    <w:rsid w:val="67C53BB2"/>
    <w:rsid w:val="68973A27"/>
    <w:rsid w:val="6AED38E7"/>
    <w:rsid w:val="6BD1A1E6"/>
    <w:rsid w:val="6C84AD5C"/>
    <w:rsid w:val="6CCE64DE"/>
    <w:rsid w:val="6E24D9A9"/>
    <w:rsid w:val="6E6A353F"/>
    <w:rsid w:val="71A1D601"/>
    <w:rsid w:val="72CDDFDA"/>
    <w:rsid w:val="773159D0"/>
    <w:rsid w:val="78628E86"/>
    <w:rsid w:val="7A45974B"/>
    <w:rsid w:val="7CBEFA45"/>
    <w:rsid w:val="7D0FA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81B4"/>
  <w15:docId w15:val="{938622CC-60F6-42A0-A1D3-BAE4876D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6294e04bebfc4e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7A7C35EF7D9498CF1FE6FA8D9EC77" ma:contentTypeVersion="16" ma:contentTypeDescription="Create a new document." ma:contentTypeScope="" ma:versionID="d09f53f47687c76b71ab600096789ad0">
  <xsd:schema xmlns:xsd="http://www.w3.org/2001/XMLSchema" xmlns:xs="http://www.w3.org/2001/XMLSchema" xmlns:p="http://schemas.microsoft.com/office/2006/metadata/properties" xmlns:ns3="1996800a-e14a-4802-9515-eb7d0c852a92" xmlns:ns4="29001ef6-ed15-4dad-aa57-40328cb3c6b2" targetNamespace="http://schemas.microsoft.com/office/2006/metadata/properties" ma:root="true" ma:fieldsID="8f5aa764e8dd43dfc286b07247d63c93" ns3:_="" ns4:_="">
    <xsd:import namespace="1996800a-e14a-4802-9515-eb7d0c852a92"/>
    <xsd:import namespace="29001ef6-ed15-4dad-aa57-40328cb3c6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800a-e14a-4802-9515-eb7d0c852a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01ef6-ed15-4dad-aa57-40328cb3c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01ef6-ed15-4dad-aa57-40328cb3c6b2" xsi:nil="true"/>
  </documentManagement>
</p:properties>
</file>

<file path=customXml/itemProps1.xml><?xml version="1.0" encoding="utf-8"?>
<ds:datastoreItem xmlns:ds="http://schemas.openxmlformats.org/officeDocument/2006/customXml" ds:itemID="{79308C80-EE80-4962-B06B-C5EF0AD53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00669-8605-435F-995F-CF43FEBE0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6800a-e14a-4802-9515-eb7d0c852a92"/>
    <ds:schemaRef ds:uri="29001ef6-ed15-4dad-aa57-40328cb3c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51359-FB5E-4D00-A4EB-1445D76ED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2FA89-9AC3-4317-91C6-EBFCE8C761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996800a-e14a-4802-9515-eb7d0c852a92"/>
    <ds:schemaRef ds:uri="http://purl.org/dc/elements/1.1/"/>
    <ds:schemaRef ds:uri="http://schemas.microsoft.com/office/2006/metadata/properties"/>
    <ds:schemaRef ds:uri="http://schemas.microsoft.com/office/2006/documentManagement/types"/>
    <ds:schemaRef ds:uri="29001ef6-ed15-4dad-aa57-40328cb3c6b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JSCC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 Harris</dc:creator>
  <lastModifiedBy>Tamara Payne</lastModifiedBy>
  <revision>5</revision>
  <lastPrinted>2013-01-15T21:45:00.0000000Z</lastPrinted>
  <dcterms:created xsi:type="dcterms:W3CDTF">2023-07-20T17:32:00.0000000Z</dcterms:created>
  <dcterms:modified xsi:type="dcterms:W3CDTF">2023-08-17T14:48:42.4838041Z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0x010100F877A7C35EF7D9498CF1FE6FA8D9EC77</vt:lpwstr>
  </property>
</Properties>
</file>