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B81C69" w14:paraId="439BC9AC" w14:textId="77777777" w:rsidTr="00691FF1">
        <w:tc>
          <w:tcPr>
            <w:tcW w:w="6588" w:type="dxa"/>
          </w:tcPr>
          <w:p w14:paraId="390BAF40" w14:textId="77777777" w:rsidR="00490115" w:rsidRPr="00B81C69" w:rsidRDefault="00490115" w:rsidP="00691FF1">
            <w:pPr>
              <w:rPr>
                <w:b/>
                <w:sz w:val="24"/>
                <w:szCs w:val="24"/>
              </w:rPr>
            </w:pPr>
            <w:r>
              <w:rPr>
                <w:noProof/>
              </w:rPr>
              <w:drawing>
                <wp:inline distT="0" distB="0" distL="0" distR="0" wp14:anchorId="2293E70D" wp14:editId="1F13AAAD">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104F0C69" w14:textId="77777777" w:rsidR="00490115" w:rsidRPr="00490115" w:rsidRDefault="00490115" w:rsidP="00490115">
            <w:pPr>
              <w:jc w:val="right"/>
              <w:rPr>
                <w:b/>
                <w:sz w:val="36"/>
                <w:szCs w:val="36"/>
              </w:rPr>
            </w:pPr>
            <w:r w:rsidRPr="00490115">
              <w:rPr>
                <w:b/>
                <w:sz w:val="36"/>
                <w:szCs w:val="36"/>
              </w:rPr>
              <w:t>Goal Progress Report</w:t>
            </w:r>
          </w:p>
        </w:tc>
      </w:tr>
    </w:tbl>
    <w:p w14:paraId="4A94A7CC" w14:textId="77777777" w:rsidR="00490115" w:rsidRPr="002A44E2" w:rsidRDefault="00490115" w:rsidP="00490115">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B81C69" w14:paraId="58FA96C2" w14:textId="77777777" w:rsidTr="00691FF1">
        <w:tc>
          <w:tcPr>
            <w:tcW w:w="1291" w:type="dxa"/>
          </w:tcPr>
          <w:p w14:paraId="43F60E8E" w14:textId="77777777" w:rsidR="00490115" w:rsidRPr="00D554AC" w:rsidRDefault="00490115" w:rsidP="00691FF1">
            <w:pPr>
              <w:rPr>
                <w:b/>
                <w:sz w:val="28"/>
                <w:szCs w:val="28"/>
              </w:rPr>
            </w:pPr>
            <w:r w:rsidRPr="00D554AC">
              <w:rPr>
                <w:b/>
                <w:sz w:val="28"/>
                <w:szCs w:val="28"/>
              </w:rPr>
              <w:t>Program:</w:t>
            </w:r>
          </w:p>
        </w:tc>
        <w:tc>
          <w:tcPr>
            <w:tcW w:w="5207" w:type="dxa"/>
            <w:tcBorders>
              <w:bottom w:val="single" w:sz="6" w:space="0" w:color="auto"/>
            </w:tcBorders>
          </w:tcPr>
          <w:p w14:paraId="5199486F" w14:textId="77777777" w:rsidR="00490115" w:rsidRPr="00B81C69" w:rsidRDefault="001922AF" w:rsidP="00691FF1">
            <w:pPr>
              <w:rPr>
                <w:b/>
                <w:sz w:val="24"/>
                <w:szCs w:val="24"/>
              </w:rPr>
            </w:pPr>
            <w:r>
              <w:rPr>
                <w:b/>
                <w:sz w:val="24"/>
                <w:szCs w:val="24"/>
              </w:rPr>
              <w:t>Learning Success Center</w:t>
            </w:r>
          </w:p>
        </w:tc>
        <w:tc>
          <w:tcPr>
            <w:tcW w:w="2610" w:type="dxa"/>
          </w:tcPr>
          <w:p w14:paraId="007CA4EB" w14:textId="77777777" w:rsidR="00490115" w:rsidRPr="00D554AC" w:rsidRDefault="00490115" w:rsidP="00490115">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14:paraId="48CF6FA3" w14:textId="614C1642" w:rsidR="00490115" w:rsidRPr="00B81C69" w:rsidRDefault="00033989" w:rsidP="00A2130B">
            <w:pPr>
              <w:rPr>
                <w:b/>
                <w:sz w:val="24"/>
                <w:szCs w:val="24"/>
              </w:rPr>
            </w:pPr>
            <w:r>
              <w:rPr>
                <w:b/>
                <w:sz w:val="24"/>
                <w:szCs w:val="24"/>
              </w:rPr>
              <w:t>20</w:t>
            </w:r>
            <w:r w:rsidR="00D35E16">
              <w:rPr>
                <w:b/>
                <w:sz w:val="24"/>
                <w:szCs w:val="24"/>
              </w:rPr>
              <w:t>2</w:t>
            </w:r>
            <w:r w:rsidR="00675224">
              <w:rPr>
                <w:b/>
                <w:sz w:val="24"/>
                <w:szCs w:val="24"/>
              </w:rPr>
              <w:t>2</w:t>
            </w:r>
            <w:r>
              <w:rPr>
                <w:b/>
                <w:sz w:val="24"/>
                <w:szCs w:val="24"/>
              </w:rPr>
              <w:t xml:space="preserve"> - 20</w:t>
            </w:r>
            <w:r w:rsidR="008425DC">
              <w:rPr>
                <w:b/>
                <w:sz w:val="24"/>
                <w:szCs w:val="24"/>
              </w:rPr>
              <w:t>2</w:t>
            </w:r>
            <w:r w:rsidR="00675224">
              <w:rPr>
                <w:b/>
                <w:sz w:val="24"/>
                <w:szCs w:val="24"/>
              </w:rPr>
              <w:t>3</w:t>
            </w:r>
          </w:p>
        </w:tc>
      </w:tr>
    </w:tbl>
    <w:p w14:paraId="20766DEA" w14:textId="77777777" w:rsidR="00490115" w:rsidRDefault="00490115" w:rsidP="00490115">
      <w:pPr>
        <w:spacing w:after="0"/>
      </w:pPr>
    </w:p>
    <w:tbl>
      <w:tblPr>
        <w:tblStyle w:val="TableGrid"/>
        <w:tblW w:w="0" w:type="auto"/>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2"/>
        <w:gridCol w:w="3558"/>
        <w:gridCol w:w="3294"/>
        <w:gridCol w:w="3294"/>
      </w:tblGrid>
      <w:tr w:rsidR="00490115" w:rsidRPr="00D554AC" w14:paraId="53EEAE39" w14:textId="77777777" w:rsidTr="00DB4E21">
        <w:trPr>
          <w:tblHeader/>
        </w:trPr>
        <w:tc>
          <w:tcPr>
            <w:tcW w:w="13358" w:type="dxa"/>
            <w:gridSpan w:val="4"/>
            <w:tcBorders>
              <w:bottom w:val="single" w:sz="6" w:space="0" w:color="auto"/>
            </w:tcBorders>
            <w:shd w:val="clear" w:color="auto" w:fill="D9D9D9" w:themeFill="background1" w:themeFillShade="D9"/>
          </w:tcPr>
          <w:p w14:paraId="7A6370E3" w14:textId="77777777" w:rsidR="00490115" w:rsidRPr="00D554AC" w:rsidRDefault="00490115" w:rsidP="00691FF1">
            <w:pPr>
              <w:jc w:val="center"/>
              <w:rPr>
                <w:b/>
                <w:sz w:val="32"/>
                <w:szCs w:val="32"/>
              </w:rPr>
            </w:pPr>
            <w:bookmarkStart w:id="0" w:name="_Hlk112402604"/>
            <w:bookmarkStart w:id="1" w:name="_Hlk112403391"/>
          </w:p>
        </w:tc>
      </w:tr>
      <w:tr w:rsidR="00490115" w:rsidRPr="00D554AC" w14:paraId="62994D12" w14:textId="77777777" w:rsidTr="00DB4E21">
        <w:trPr>
          <w:trHeight w:val="54"/>
          <w:tblHeader/>
        </w:trPr>
        <w:tc>
          <w:tcPr>
            <w:tcW w:w="3212" w:type="dxa"/>
            <w:tcBorders>
              <w:left w:val="single" w:sz="6" w:space="0" w:color="auto"/>
              <w:bottom w:val="double" w:sz="4" w:space="0" w:color="auto"/>
              <w:right w:val="single" w:sz="6" w:space="0" w:color="auto"/>
            </w:tcBorders>
          </w:tcPr>
          <w:p w14:paraId="069EA0FE" w14:textId="77777777" w:rsidR="00490115" w:rsidRPr="00490115" w:rsidRDefault="00490115" w:rsidP="00490115">
            <w:pPr>
              <w:jc w:val="center"/>
              <w:rPr>
                <w:b/>
                <w:sz w:val="16"/>
                <w:szCs w:val="16"/>
              </w:rPr>
            </w:pPr>
          </w:p>
          <w:p w14:paraId="0E92F36A" w14:textId="77777777" w:rsidR="00490115" w:rsidRPr="00D554AC" w:rsidRDefault="00490115" w:rsidP="00490115">
            <w:pPr>
              <w:jc w:val="center"/>
              <w:rPr>
                <w:b/>
                <w:sz w:val="24"/>
                <w:szCs w:val="24"/>
              </w:rPr>
            </w:pPr>
            <w:r>
              <w:rPr>
                <w:b/>
                <w:sz w:val="24"/>
                <w:szCs w:val="24"/>
              </w:rPr>
              <w:t>Goals</w:t>
            </w:r>
          </w:p>
        </w:tc>
        <w:tc>
          <w:tcPr>
            <w:tcW w:w="3558" w:type="dxa"/>
            <w:tcBorders>
              <w:left w:val="single" w:sz="6" w:space="0" w:color="auto"/>
              <w:bottom w:val="thinThickSmallGap" w:sz="12" w:space="0" w:color="auto"/>
              <w:right w:val="single" w:sz="4" w:space="0" w:color="auto"/>
            </w:tcBorders>
          </w:tcPr>
          <w:p w14:paraId="3690D365" w14:textId="77777777" w:rsidR="00490115" w:rsidRPr="00D554AC" w:rsidRDefault="00490115" w:rsidP="00490115">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6D0A91C5" w14:textId="77777777" w:rsidR="00490115" w:rsidRPr="00490115" w:rsidRDefault="00490115" w:rsidP="00490115">
            <w:pPr>
              <w:jc w:val="center"/>
              <w:rPr>
                <w:b/>
                <w:sz w:val="16"/>
                <w:szCs w:val="16"/>
              </w:rPr>
            </w:pPr>
          </w:p>
          <w:p w14:paraId="498728BA" w14:textId="77777777" w:rsidR="00490115" w:rsidRPr="00D554AC" w:rsidRDefault="00490115" w:rsidP="00490115">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13252A4" w14:textId="77777777" w:rsidR="00490115" w:rsidRPr="00D554AC" w:rsidRDefault="00490115" w:rsidP="00490115">
            <w:pPr>
              <w:jc w:val="center"/>
              <w:rPr>
                <w:b/>
                <w:sz w:val="24"/>
                <w:szCs w:val="24"/>
              </w:rPr>
            </w:pPr>
            <w:r>
              <w:rPr>
                <w:b/>
                <w:sz w:val="24"/>
                <w:szCs w:val="24"/>
              </w:rPr>
              <w:t>Strategies Implemented &amp; Follow-up</w:t>
            </w:r>
          </w:p>
        </w:tc>
      </w:tr>
      <w:bookmarkEnd w:id="1"/>
      <w:tr w:rsidR="00490115" w14:paraId="3B125F06" w14:textId="77777777" w:rsidTr="00DB4E21">
        <w:trPr>
          <w:trHeight w:val="54"/>
        </w:trPr>
        <w:tc>
          <w:tcPr>
            <w:tcW w:w="3212" w:type="dxa"/>
            <w:tcBorders>
              <w:top w:val="thinThickSmallGap" w:sz="12" w:space="0" w:color="auto"/>
              <w:right w:val="single" w:sz="6" w:space="0" w:color="auto"/>
            </w:tcBorders>
          </w:tcPr>
          <w:p w14:paraId="65C29675" w14:textId="77777777" w:rsidR="00675224" w:rsidRPr="00E25BAD" w:rsidRDefault="00675224" w:rsidP="00675224">
            <w:pPr>
              <w:rPr>
                <w:rFonts w:ascii="Times New Roman" w:hAnsi="Times New Roman" w:cs="Times New Roman"/>
                <w:sz w:val="24"/>
                <w:szCs w:val="24"/>
              </w:rPr>
            </w:pPr>
            <w:r w:rsidRPr="00E25BAD">
              <w:rPr>
                <w:rFonts w:ascii="Times New Roman" w:hAnsi="Times New Roman" w:cs="Times New Roman"/>
                <w:sz w:val="24"/>
                <w:szCs w:val="24"/>
              </w:rPr>
              <w:t xml:space="preserve">Jefferson State will promote access to instructional assistance and support services at the Jefferson Campus, Shelby Campus, St. Clair/Pell City </w:t>
            </w:r>
            <w:proofErr w:type="gramStart"/>
            <w:r w:rsidRPr="00E25BAD">
              <w:rPr>
                <w:rFonts w:ascii="Times New Roman" w:hAnsi="Times New Roman" w:cs="Times New Roman"/>
                <w:sz w:val="24"/>
                <w:szCs w:val="24"/>
              </w:rPr>
              <w:t>C</w:t>
            </w:r>
            <w:r>
              <w:rPr>
                <w:rFonts w:ascii="Times New Roman" w:hAnsi="Times New Roman" w:cs="Times New Roman"/>
                <w:sz w:val="24"/>
                <w:szCs w:val="24"/>
              </w:rPr>
              <w:t>ampus</w:t>
            </w:r>
            <w:proofErr w:type="gramEnd"/>
            <w:r w:rsidRPr="00E25BAD">
              <w:rPr>
                <w:rFonts w:ascii="Times New Roman" w:hAnsi="Times New Roman" w:cs="Times New Roman"/>
                <w:sz w:val="24"/>
                <w:szCs w:val="24"/>
              </w:rPr>
              <w:t xml:space="preserve"> and Chilton/Clanton C</w:t>
            </w:r>
            <w:r>
              <w:rPr>
                <w:rFonts w:ascii="Times New Roman" w:hAnsi="Times New Roman" w:cs="Times New Roman"/>
                <w:sz w:val="24"/>
                <w:szCs w:val="24"/>
              </w:rPr>
              <w:t>ampus</w:t>
            </w:r>
            <w:r w:rsidRPr="00E25BAD">
              <w:rPr>
                <w:rFonts w:ascii="Times New Roman" w:hAnsi="Times New Roman" w:cs="Times New Roman"/>
                <w:sz w:val="24"/>
                <w:szCs w:val="24"/>
              </w:rPr>
              <w:t xml:space="preserve">. </w:t>
            </w:r>
          </w:p>
          <w:p w14:paraId="2E2E902B" w14:textId="18D40E9A" w:rsidR="00490115" w:rsidRPr="008C1182" w:rsidRDefault="00490115" w:rsidP="00615039">
            <w:pPr>
              <w:rPr>
                <w:rFonts w:cstheme="minorHAnsi"/>
                <w:sz w:val="24"/>
                <w:szCs w:val="24"/>
              </w:rPr>
            </w:pPr>
          </w:p>
        </w:tc>
        <w:tc>
          <w:tcPr>
            <w:tcW w:w="3558" w:type="dxa"/>
            <w:tcBorders>
              <w:top w:val="thinThickSmallGap" w:sz="12" w:space="0" w:color="auto"/>
              <w:left w:val="single" w:sz="6" w:space="0" w:color="auto"/>
              <w:right w:val="single" w:sz="4" w:space="0" w:color="auto"/>
            </w:tcBorders>
          </w:tcPr>
          <w:p w14:paraId="6BACFEE7" w14:textId="77777777" w:rsidR="00675224" w:rsidRPr="00675224" w:rsidRDefault="00675224" w:rsidP="00675224">
            <w:pPr>
              <w:rPr>
                <w:rFonts w:cstheme="minorHAnsi"/>
                <w:spacing w:val="-1"/>
                <w:sz w:val="24"/>
                <w:szCs w:val="24"/>
              </w:rPr>
            </w:pPr>
            <w:r w:rsidRPr="00675224">
              <w:rPr>
                <w:rFonts w:cstheme="minorHAnsi"/>
                <w:spacing w:val="-1"/>
                <w:sz w:val="24"/>
                <w:szCs w:val="24"/>
              </w:rPr>
              <w:t xml:space="preserve">Continue funding to support staff and supplies at Jefferson Campus and Shelby Campus. </w:t>
            </w:r>
          </w:p>
          <w:p w14:paraId="7D56DFF5" w14:textId="77777777" w:rsidR="008425DC" w:rsidRDefault="008425DC" w:rsidP="008425DC">
            <w:pPr>
              <w:rPr>
                <w:rFonts w:cstheme="minorHAnsi"/>
                <w:spacing w:val="-1"/>
                <w:sz w:val="24"/>
                <w:szCs w:val="24"/>
              </w:rPr>
            </w:pPr>
          </w:p>
          <w:p w14:paraId="039E847E" w14:textId="77777777" w:rsidR="00540DDB" w:rsidRPr="00540DDB" w:rsidRDefault="00540DDB" w:rsidP="00540DDB">
            <w:pPr>
              <w:rPr>
                <w:rFonts w:ascii="Times New Roman" w:eastAsia="Calibri" w:hAnsi="Times New Roman" w:cs="Times New Roman"/>
                <w:spacing w:val="-1"/>
                <w:sz w:val="24"/>
                <w:szCs w:val="24"/>
              </w:rPr>
            </w:pPr>
            <w:r w:rsidRPr="00540DDB">
              <w:rPr>
                <w:rFonts w:ascii="Times New Roman" w:eastAsia="Calibri" w:hAnsi="Times New Roman" w:cs="Times New Roman"/>
                <w:spacing w:val="-1"/>
                <w:sz w:val="24"/>
                <w:szCs w:val="24"/>
              </w:rPr>
              <w:t>Replacement of three computers in the Allen Library, $4,000.</w:t>
            </w:r>
          </w:p>
          <w:p w14:paraId="6F09DD46" w14:textId="77777777" w:rsidR="00675224" w:rsidRPr="00675224" w:rsidRDefault="00540DDB" w:rsidP="00675224">
            <w:pPr>
              <w:rPr>
                <w:rFonts w:ascii="Times New Roman" w:eastAsia="Calibri" w:hAnsi="Times New Roman" w:cs="Times New Roman"/>
                <w:spacing w:val="-1"/>
                <w:sz w:val="24"/>
                <w:szCs w:val="24"/>
              </w:rPr>
            </w:pPr>
            <w:r w:rsidRPr="00540DDB">
              <w:rPr>
                <w:rFonts w:ascii="Times New Roman" w:eastAsia="Calibri" w:hAnsi="Times New Roman" w:cs="Times New Roman"/>
                <w:b/>
                <w:spacing w:val="-1"/>
                <w:sz w:val="24"/>
                <w:szCs w:val="24"/>
              </w:rPr>
              <w:t xml:space="preserve">                                              </w:t>
            </w:r>
            <w:r w:rsidRPr="00540DDB">
              <w:rPr>
                <w:rFonts w:ascii="Times New Roman" w:eastAsia="Calibri" w:hAnsi="Times New Roman" w:cs="Times New Roman"/>
                <w:spacing w:val="-1"/>
                <w:sz w:val="24"/>
                <w:szCs w:val="24"/>
              </w:rPr>
              <w:t xml:space="preserve"> </w:t>
            </w:r>
            <w:r w:rsidR="00675224" w:rsidRPr="00675224">
              <w:rPr>
                <w:rFonts w:ascii="Times New Roman" w:eastAsia="Calibri" w:hAnsi="Times New Roman" w:cs="Times New Roman"/>
                <w:spacing w:val="-1"/>
                <w:sz w:val="24"/>
                <w:szCs w:val="24"/>
              </w:rPr>
              <w:t>Replace 27 computers in AL-112, @ $1500.00 a piece for a total cost of $40,500. $3,000 needed to purchase supplies. $67,600 needed to fund director position. $62,244 needed to fund six L-19, LSC lab assistant positions @ $10.50 per hour. $86,340 needed to fund six L-19, LSC Tutor positions @ $14.56 per hour.  </w:t>
            </w:r>
          </w:p>
          <w:p w14:paraId="24378E1D" w14:textId="687AAC8E" w:rsidR="0075659F" w:rsidRDefault="0075659F" w:rsidP="00463106">
            <w:pPr>
              <w:rPr>
                <w:rFonts w:cstheme="minorHAnsi"/>
                <w:spacing w:val="-1"/>
                <w:sz w:val="24"/>
                <w:szCs w:val="24"/>
              </w:rPr>
            </w:pPr>
          </w:p>
          <w:p w14:paraId="5F7AC7BD" w14:textId="77777777" w:rsidR="0075659F" w:rsidRDefault="0075659F" w:rsidP="00463106">
            <w:pPr>
              <w:rPr>
                <w:rFonts w:cstheme="minorHAnsi"/>
                <w:spacing w:val="-1"/>
                <w:sz w:val="24"/>
                <w:szCs w:val="24"/>
              </w:rPr>
            </w:pPr>
          </w:p>
          <w:p w14:paraId="4B5D9949" w14:textId="3040AE91" w:rsidR="00490115" w:rsidRPr="008C1182" w:rsidRDefault="00490115" w:rsidP="00463106">
            <w:pPr>
              <w:rPr>
                <w:rFonts w:cstheme="minorHAnsi"/>
                <w:sz w:val="24"/>
                <w:szCs w:val="24"/>
              </w:rPr>
            </w:pPr>
          </w:p>
        </w:tc>
        <w:tc>
          <w:tcPr>
            <w:tcW w:w="3294" w:type="dxa"/>
            <w:tcBorders>
              <w:top w:val="thinThickSmallGap" w:sz="12" w:space="0" w:color="auto"/>
              <w:left w:val="single" w:sz="4" w:space="0" w:color="auto"/>
              <w:right w:val="single" w:sz="6" w:space="0" w:color="auto"/>
            </w:tcBorders>
          </w:tcPr>
          <w:p w14:paraId="79680991" w14:textId="77777777" w:rsidR="00675224" w:rsidRPr="00675224" w:rsidRDefault="00675224" w:rsidP="00675224">
            <w:pPr>
              <w:rPr>
                <w:rFonts w:eastAsia="Times New Roman" w:cstheme="minorHAnsi"/>
                <w:sz w:val="24"/>
                <w:szCs w:val="24"/>
              </w:rPr>
            </w:pPr>
            <w:r w:rsidRPr="00675224">
              <w:rPr>
                <w:rFonts w:eastAsia="Times New Roman" w:cstheme="minorHAnsi"/>
                <w:sz w:val="24"/>
                <w:szCs w:val="24"/>
              </w:rPr>
              <w:t xml:space="preserve">Funding was provided to support staff and supplies at the Jefferson Campus and Shelby-Hoover Campus. </w:t>
            </w:r>
          </w:p>
          <w:p w14:paraId="2743E581" w14:textId="77777777" w:rsidR="00675224" w:rsidRPr="00675224" w:rsidRDefault="00675224" w:rsidP="00675224">
            <w:pPr>
              <w:rPr>
                <w:rFonts w:eastAsia="Times New Roman" w:cstheme="minorHAnsi"/>
                <w:sz w:val="24"/>
                <w:szCs w:val="24"/>
              </w:rPr>
            </w:pPr>
          </w:p>
          <w:p w14:paraId="60CE734A" w14:textId="00C8C3B9" w:rsidR="008425DC" w:rsidRPr="008C1182" w:rsidRDefault="00675224" w:rsidP="00675224">
            <w:pPr>
              <w:rPr>
                <w:rFonts w:eastAsia="Times New Roman" w:cstheme="minorHAnsi"/>
                <w:sz w:val="24"/>
                <w:szCs w:val="24"/>
              </w:rPr>
            </w:pPr>
            <w:r w:rsidRPr="00675224">
              <w:rPr>
                <w:rFonts w:eastAsia="Times New Roman" w:cstheme="minorHAnsi"/>
                <w:sz w:val="24"/>
                <w:szCs w:val="24"/>
              </w:rPr>
              <w:t xml:space="preserve">IT replaced </w:t>
            </w:r>
            <w:r w:rsidRPr="00675224">
              <w:rPr>
                <w:rFonts w:eastAsia="Times New Roman" w:cstheme="minorHAnsi"/>
                <w:sz w:val="24"/>
                <w:szCs w:val="24"/>
              </w:rPr>
              <w:t>all</w:t>
            </w:r>
            <w:r w:rsidRPr="00675224">
              <w:rPr>
                <w:rFonts w:eastAsia="Times New Roman" w:cstheme="minorHAnsi"/>
                <w:sz w:val="24"/>
                <w:szCs w:val="24"/>
              </w:rPr>
              <w:t xml:space="preserve"> the computers (35) in the Learning Success Center located in the Allen Library in lieu of computers in AL-112. Will budget and request computers in AL-112 be replaced in 2023-2024.</w:t>
            </w:r>
          </w:p>
        </w:tc>
        <w:tc>
          <w:tcPr>
            <w:tcW w:w="3294" w:type="dxa"/>
            <w:tcBorders>
              <w:top w:val="thinThickSmallGap" w:sz="12" w:space="0" w:color="auto"/>
              <w:left w:val="single" w:sz="6" w:space="0" w:color="auto"/>
            </w:tcBorders>
          </w:tcPr>
          <w:p w14:paraId="7F9901A0" w14:textId="77777777" w:rsidR="00675224" w:rsidRPr="00675224" w:rsidRDefault="00675224" w:rsidP="00675224">
            <w:pPr>
              <w:rPr>
                <w:rFonts w:eastAsia="Times New Roman" w:cstheme="minorHAnsi"/>
                <w:sz w:val="24"/>
                <w:szCs w:val="24"/>
              </w:rPr>
            </w:pPr>
            <w:r w:rsidRPr="00675224">
              <w:rPr>
                <w:rFonts w:eastAsia="Times New Roman" w:cstheme="minorHAnsi"/>
                <w:sz w:val="24"/>
                <w:szCs w:val="24"/>
              </w:rPr>
              <w:t xml:space="preserve">The LSC at the Jefferson and Shelby Campuses are staffed 8am to 8pm Monday through Thursday and 8am to 4pm Friday. </w:t>
            </w:r>
          </w:p>
          <w:p w14:paraId="2BE052AF" w14:textId="77777777" w:rsidR="00675224" w:rsidRPr="00675224" w:rsidRDefault="00675224" w:rsidP="00675224">
            <w:pPr>
              <w:rPr>
                <w:rFonts w:eastAsia="Times New Roman" w:cstheme="minorHAnsi"/>
                <w:sz w:val="24"/>
                <w:szCs w:val="24"/>
              </w:rPr>
            </w:pPr>
          </w:p>
          <w:p w14:paraId="57D0CB48" w14:textId="77777777" w:rsidR="00675224" w:rsidRPr="00675224" w:rsidRDefault="00675224" w:rsidP="00675224">
            <w:pPr>
              <w:rPr>
                <w:rFonts w:eastAsia="Times New Roman" w:cstheme="minorHAnsi"/>
                <w:sz w:val="24"/>
                <w:szCs w:val="24"/>
              </w:rPr>
            </w:pPr>
            <w:r w:rsidRPr="00675224">
              <w:rPr>
                <w:rFonts w:eastAsia="Times New Roman" w:cstheme="minorHAnsi"/>
                <w:sz w:val="24"/>
                <w:szCs w:val="24"/>
              </w:rPr>
              <w:t>LSC staff monitors chat through the JSCC website during normal operating hours. This provides student support for St. Clair/Pell City Campus and Chilton/Clanton Campus where LSC staff is not on campus.</w:t>
            </w:r>
          </w:p>
          <w:p w14:paraId="6B29BBB1" w14:textId="03BEB6CD" w:rsidR="00E47404" w:rsidRPr="008C1182" w:rsidRDefault="00E47404" w:rsidP="00EF570C">
            <w:pPr>
              <w:rPr>
                <w:rFonts w:eastAsia="Times New Roman" w:cstheme="minorHAnsi"/>
                <w:sz w:val="24"/>
                <w:szCs w:val="24"/>
              </w:rPr>
            </w:pPr>
          </w:p>
        </w:tc>
      </w:tr>
      <w:tr w:rsidR="00490115" w14:paraId="6935E8DD" w14:textId="77777777" w:rsidTr="00DB4E21">
        <w:trPr>
          <w:trHeight w:val="7635"/>
        </w:trPr>
        <w:tc>
          <w:tcPr>
            <w:tcW w:w="3212" w:type="dxa"/>
            <w:tcBorders>
              <w:right w:val="single" w:sz="6" w:space="0" w:color="auto"/>
            </w:tcBorders>
          </w:tcPr>
          <w:p w14:paraId="55BB1F94" w14:textId="77777777" w:rsidR="00675224" w:rsidRPr="00675224" w:rsidRDefault="00675224" w:rsidP="00675224">
            <w:pPr>
              <w:widowControl w:val="0"/>
              <w:spacing w:line="274" w:lineRule="auto"/>
              <w:rPr>
                <w:rFonts w:ascii="Times New Roman" w:eastAsia="Calibri" w:hAnsi="Times New Roman" w:cs="Times New Roman"/>
                <w:spacing w:val="1"/>
                <w:sz w:val="24"/>
                <w:szCs w:val="24"/>
              </w:rPr>
            </w:pPr>
            <w:r w:rsidRPr="00675224">
              <w:rPr>
                <w:rFonts w:ascii="Times New Roman" w:eastAsia="Calibri" w:hAnsi="Times New Roman" w:cs="Times New Roman"/>
                <w:spacing w:val="1"/>
                <w:sz w:val="24"/>
                <w:szCs w:val="24"/>
              </w:rPr>
              <w:lastRenderedPageBreak/>
              <w:t>Offer a minimum of 1000 computer-based instructional software resources to students at Jefferson State’s Jefferson, Shelby, St. Clair/Pell City, and Chilton/Clanton campuses to improve performance in the enrolled courses.</w:t>
            </w:r>
          </w:p>
          <w:p w14:paraId="4AD44E68" w14:textId="3614DD33" w:rsidR="00490115" w:rsidRPr="008C1182" w:rsidRDefault="00490115" w:rsidP="0075430C">
            <w:pPr>
              <w:rPr>
                <w:rFonts w:cstheme="minorHAnsi"/>
                <w:sz w:val="24"/>
                <w:szCs w:val="24"/>
              </w:rPr>
            </w:pPr>
          </w:p>
        </w:tc>
        <w:tc>
          <w:tcPr>
            <w:tcW w:w="3558" w:type="dxa"/>
            <w:tcBorders>
              <w:left w:val="single" w:sz="6" w:space="0" w:color="auto"/>
              <w:right w:val="single" w:sz="4" w:space="0" w:color="auto"/>
            </w:tcBorders>
          </w:tcPr>
          <w:p w14:paraId="3212F9A3" w14:textId="77777777" w:rsidR="00490115" w:rsidRDefault="00675224" w:rsidP="00D6333D">
            <w:pPr>
              <w:pStyle w:val="BodyText"/>
              <w:tabs>
                <w:tab w:val="left" w:pos="2980"/>
              </w:tabs>
              <w:ind w:left="0"/>
              <w:rPr>
                <w:rFonts w:ascii="Times New Roman" w:hAnsi="Times New Roman" w:cs="Times New Roman"/>
                <w:spacing w:val="-1"/>
                <w:sz w:val="24"/>
                <w:szCs w:val="24"/>
              </w:rPr>
            </w:pPr>
            <w:r w:rsidRPr="00675224">
              <w:rPr>
                <w:rFonts w:ascii="Times New Roman" w:hAnsi="Times New Roman" w:cs="Times New Roman"/>
                <w:spacing w:val="-1"/>
                <w:sz w:val="24"/>
                <w:szCs w:val="24"/>
              </w:rPr>
              <w:t xml:space="preserve">Funding for licensing fees, </w:t>
            </w:r>
            <w:r w:rsidRPr="00675224">
              <w:rPr>
                <w:rFonts w:ascii="Times New Roman" w:hAnsi="Times New Roman" w:cs="Times New Roman"/>
                <w:spacing w:val="-1"/>
                <w:sz w:val="24"/>
                <w:szCs w:val="24"/>
              </w:rPr>
              <w:t>equipment,</w:t>
            </w:r>
            <w:r w:rsidRPr="00675224">
              <w:rPr>
                <w:rFonts w:ascii="Times New Roman" w:hAnsi="Times New Roman" w:cs="Times New Roman"/>
                <w:spacing w:val="-1"/>
                <w:sz w:val="24"/>
                <w:szCs w:val="24"/>
              </w:rPr>
              <w:t xml:space="preserve"> and staff.</w:t>
            </w:r>
          </w:p>
          <w:p w14:paraId="49631C1B" w14:textId="77777777" w:rsidR="00675224" w:rsidRDefault="00675224" w:rsidP="00675224">
            <w:pPr>
              <w:pStyle w:val="BodyText"/>
              <w:tabs>
                <w:tab w:val="left" w:pos="2980"/>
              </w:tabs>
              <w:ind w:left="0"/>
              <w:rPr>
                <w:rFonts w:ascii="Times New Roman" w:hAnsi="Times New Roman" w:cs="Times New Roman"/>
                <w:spacing w:val="-1"/>
                <w:sz w:val="24"/>
                <w:szCs w:val="24"/>
              </w:rPr>
            </w:pPr>
          </w:p>
          <w:p w14:paraId="79EB453D" w14:textId="55A22B47" w:rsidR="00675224" w:rsidRPr="00675224" w:rsidRDefault="00675224" w:rsidP="00675224">
            <w:pPr>
              <w:pStyle w:val="BodyText"/>
              <w:tabs>
                <w:tab w:val="left" w:pos="2980"/>
              </w:tabs>
              <w:ind w:left="0"/>
              <w:rPr>
                <w:rFonts w:ascii="Times New Roman" w:hAnsi="Times New Roman" w:cs="Times New Roman"/>
                <w:spacing w:val="-1"/>
                <w:sz w:val="24"/>
                <w:szCs w:val="24"/>
              </w:rPr>
            </w:pPr>
            <w:r w:rsidRPr="00675224">
              <w:rPr>
                <w:rFonts w:ascii="Times New Roman" w:hAnsi="Times New Roman" w:cs="Times New Roman"/>
                <w:spacing w:val="-1"/>
                <w:sz w:val="24"/>
                <w:szCs w:val="24"/>
              </w:rPr>
              <w:t>Program staff will document the number of students resources offered.</w:t>
            </w:r>
          </w:p>
          <w:p w14:paraId="4DD0D4D5" w14:textId="14773BA7" w:rsidR="00675224" w:rsidRPr="008C1182" w:rsidRDefault="00675224" w:rsidP="00D6333D">
            <w:pPr>
              <w:pStyle w:val="BodyText"/>
              <w:tabs>
                <w:tab w:val="left" w:pos="2980"/>
              </w:tabs>
              <w:ind w:left="0"/>
              <w:rPr>
                <w:rFonts w:asciiTheme="minorHAnsi" w:hAnsiTheme="minorHAnsi" w:cstheme="minorHAnsi"/>
                <w:sz w:val="24"/>
                <w:szCs w:val="24"/>
              </w:rPr>
            </w:pPr>
          </w:p>
        </w:tc>
        <w:tc>
          <w:tcPr>
            <w:tcW w:w="3294" w:type="dxa"/>
            <w:tcBorders>
              <w:left w:val="single" w:sz="4" w:space="0" w:color="auto"/>
              <w:right w:val="single" w:sz="6" w:space="0" w:color="auto"/>
            </w:tcBorders>
          </w:tcPr>
          <w:p w14:paraId="2E1CB39D" w14:textId="32D0629A" w:rsidR="00675224" w:rsidRPr="00675224" w:rsidRDefault="00675224" w:rsidP="00675224">
            <w:pPr>
              <w:rPr>
                <w:sz w:val="24"/>
                <w:szCs w:val="24"/>
              </w:rPr>
            </w:pPr>
            <w:r w:rsidRPr="00675224">
              <w:rPr>
                <w:sz w:val="24"/>
                <w:szCs w:val="24"/>
              </w:rPr>
              <w:t xml:space="preserve">The Learning Success Center collaborates with the Learning Resource Centers to offer computer-based instructional software at all four campuses to improve performance in enrolled courses. These resources </w:t>
            </w:r>
            <w:r w:rsidRPr="00675224">
              <w:rPr>
                <w:sz w:val="24"/>
                <w:szCs w:val="24"/>
              </w:rPr>
              <w:t>include Edmentum</w:t>
            </w:r>
            <w:r w:rsidRPr="00675224">
              <w:rPr>
                <w:sz w:val="24"/>
                <w:szCs w:val="24"/>
              </w:rPr>
              <w:t xml:space="preserve"> </w:t>
            </w:r>
            <w:r w:rsidRPr="00675224">
              <w:rPr>
                <w:sz w:val="24"/>
                <w:szCs w:val="24"/>
              </w:rPr>
              <w:t>courseware, Library</w:t>
            </w:r>
            <w:r w:rsidRPr="00675224">
              <w:rPr>
                <w:sz w:val="24"/>
                <w:szCs w:val="24"/>
              </w:rPr>
              <w:t xml:space="preserve"> resources (</w:t>
            </w:r>
            <w:proofErr w:type="spellStart"/>
            <w:r w:rsidRPr="00675224">
              <w:rPr>
                <w:sz w:val="24"/>
                <w:szCs w:val="24"/>
              </w:rPr>
              <w:t>PrepStep</w:t>
            </w:r>
            <w:proofErr w:type="spellEnd"/>
            <w:r w:rsidRPr="00675224">
              <w:rPr>
                <w:sz w:val="24"/>
                <w:szCs w:val="24"/>
              </w:rPr>
              <w:t xml:space="preserve"> and Petersons), Tutoring Options, and Library Resource guides based upon courses a student is taking a specific semester. As of Fall 2022 and Spring 2023, 2,914 resources were offered including Accuplacer Prep for dual enrollment and ACT Prep for dual enrollment and pre-nursing students.</w:t>
            </w:r>
          </w:p>
          <w:p w14:paraId="5F81BC2E" w14:textId="37BB78F9" w:rsidR="00490115" w:rsidRPr="00D56AA3" w:rsidRDefault="00490115" w:rsidP="00691FF1">
            <w:pPr>
              <w:rPr>
                <w:rFonts w:cstheme="minorHAnsi"/>
                <w:sz w:val="24"/>
                <w:szCs w:val="24"/>
              </w:rPr>
            </w:pPr>
          </w:p>
        </w:tc>
        <w:tc>
          <w:tcPr>
            <w:tcW w:w="3294" w:type="dxa"/>
            <w:tcBorders>
              <w:left w:val="single" w:sz="6" w:space="0" w:color="auto"/>
            </w:tcBorders>
          </w:tcPr>
          <w:p w14:paraId="26C72662" w14:textId="77777777" w:rsidR="00675224" w:rsidRPr="00675224" w:rsidRDefault="00675224" w:rsidP="00675224">
            <w:pPr>
              <w:rPr>
                <w:rFonts w:cstheme="minorHAnsi"/>
                <w:sz w:val="24"/>
                <w:szCs w:val="24"/>
              </w:rPr>
            </w:pPr>
            <w:r w:rsidRPr="00675224">
              <w:rPr>
                <w:rFonts w:cstheme="minorHAnsi"/>
                <w:sz w:val="24"/>
                <w:szCs w:val="24"/>
              </w:rPr>
              <w:t>Continue to coordinate with advisors, Dual Enrollment, and Jeff Coaches about available resources and student assistance offered by the LSC.  </w:t>
            </w:r>
          </w:p>
          <w:p w14:paraId="4118435C" w14:textId="77777777" w:rsidR="00675224" w:rsidRPr="00675224" w:rsidRDefault="00675224" w:rsidP="00675224">
            <w:pPr>
              <w:rPr>
                <w:rFonts w:cstheme="minorHAnsi"/>
                <w:sz w:val="24"/>
                <w:szCs w:val="24"/>
              </w:rPr>
            </w:pPr>
            <w:r w:rsidRPr="00675224">
              <w:rPr>
                <w:rFonts w:cstheme="minorHAnsi"/>
                <w:sz w:val="24"/>
                <w:szCs w:val="24"/>
              </w:rPr>
              <w:t> </w:t>
            </w:r>
          </w:p>
          <w:p w14:paraId="0F1D1186" w14:textId="5ADCFE61" w:rsidR="008434D4" w:rsidRPr="008C1182" w:rsidRDefault="00675224" w:rsidP="00675224">
            <w:pPr>
              <w:rPr>
                <w:rFonts w:cstheme="minorHAnsi"/>
                <w:sz w:val="24"/>
                <w:szCs w:val="24"/>
              </w:rPr>
            </w:pPr>
            <w:r w:rsidRPr="00675224">
              <w:rPr>
                <w:rFonts w:cstheme="minorHAnsi"/>
                <w:sz w:val="24"/>
                <w:szCs w:val="24"/>
              </w:rPr>
              <w:t>Continue collaboration with the Learning Resource Centers to find and offer resources to students specific to the courses registered for during a specific semester.</w:t>
            </w:r>
          </w:p>
        </w:tc>
      </w:tr>
      <w:bookmarkEnd w:id="0"/>
      <w:tr w:rsidR="00E66BC5" w14:paraId="5E861E97" w14:textId="77777777" w:rsidTr="00DB4E21">
        <w:trPr>
          <w:trHeight w:val="8616"/>
        </w:trPr>
        <w:tc>
          <w:tcPr>
            <w:tcW w:w="3212" w:type="dxa"/>
            <w:tcBorders>
              <w:right w:val="single" w:sz="6" w:space="0" w:color="auto"/>
            </w:tcBorders>
          </w:tcPr>
          <w:p w14:paraId="701BC29F" w14:textId="77777777" w:rsidR="00675224" w:rsidRPr="00675224" w:rsidRDefault="00675224" w:rsidP="00675224">
            <w:pPr>
              <w:rPr>
                <w:rFonts w:cstheme="minorHAnsi"/>
                <w:sz w:val="24"/>
                <w:szCs w:val="24"/>
              </w:rPr>
            </w:pPr>
            <w:r w:rsidRPr="00675224">
              <w:rPr>
                <w:rFonts w:cstheme="minorHAnsi"/>
                <w:sz w:val="24"/>
                <w:szCs w:val="24"/>
              </w:rPr>
              <w:lastRenderedPageBreak/>
              <w:t xml:space="preserve">Work with Dual Enrollment to determine the feasibility in enrolling students in an Academic Success course through Edmentum Courseware </w:t>
            </w:r>
          </w:p>
          <w:p w14:paraId="74063888" w14:textId="77777777" w:rsidR="00675224" w:rsidRPr="00675224" w:rsidRDefault="00675224" w:rsidP="00675224">
            <w:pPr>
              <w:rPr>
                <w:rFonts w:cstheme="minorHAnsi"/>
                <w:sz w:val="24"/>
                <w:szCs w:val="24"/>
              </w:rPr>
            </w:pPr>
          </w:p>
          <w:p w14:paraId="6B146FB5" w14:textId="39E3B822" w:rsidR="00E66BC5" w:rsidRDefault="00E66BC5" w:rsidP="00E66BC5">
            <w:pPr>
              <w:rPr>
                <w:rFonts w:cstheme="minorHAnsi"/>
                <w:sz w:val="24"/>
                <w:szCs w:val="24"/>
              </w:rPr>
            </w:pPr>
          </w:p>
        </w:tc>
        <w:tc>
          <w:tcPr>
            <w:tcW w:w="3558" w:type="dxa"/>
            <w:tcBorders>
              <w:left w:val="single" w:sz="6" w:space="0" w:color="auto"/>
              <w:right w:val="single" w:sz="4" w:space="0" w:color="auto"/>
            </w:tcBorders>
          </w:tcPr>
          <w:p w14:paraId="113F706D" w14:textId="77777777" w:rsidR="00675224" w:rsidRDefault="00675224" w:rsidP="00675224">
            <w:pPr>
              <w:pStyle w:val="BodyText"/>
              <w:tabs>
                <w:tab w:val="left" w:pos="2980"/>
              </w:tabs>
              <w:ind w:left="0"/>
              <w:rPr>
                <w:rFonts w:cstheme="minorHAnsi"/>
                <w:sz w:val="24"/>
                <w:szCs w:val="24"/>
              </w:rPr>
            </w:pPr>
            <w:r w:rsidRPr="00675224">
              <w:rPr>
                <w:rFonts w:cstheme="minorHAnsi"/>
                <w:sz w:val="24"/>
                <w:szCs w:val="24"/>
              </w:rPr>
              <w:t>Have in place for the Fall 2022 semester. Document students enrolled.</w:t>
            </w:r>
          </w:p>
          <w:p w14:paraId="32C772B7" w14:textId="77777777" w:rsidR="00675224" w:rsidRDefault="00675224" w:rsidP="00675224">
            <w:pPr>
              <w:pStyle w:val="BodyText"/>
              <w:tabs>
                <w:tab w:val="left" w:pos="2980"/>
              </w:tabs>
              <w:ind w:left="0"/>
              <w:rPr>
                <w:rFonts w:cstheme="minorHAnsi"/>
                <w:sz w:val="24"/>
                <w:szCs w:val="24"/>
              </w:rPr>
            </w:pPr>
          </w:p>
          <w:p w14:paraId="6E58F2CD" w14:textId="49C8ADFC" w:rsidR="00675224" w:rsidRPr="00675224" w:rsidRDefault="00675224" w:rsidP="00675224">
            <w:pPr>
              <w:pStyle w:val="BodyText"/>
              <w:tabs>
                <w:tab w:val="left" w:pos="2980"/>
              </w:tabs>
              <w:ind w:left="0"/>
              <w:rPr>
                <w:rFonts w:cstheme="minorHAnsi"/>
                <w:sz w:val="24"/>
                <w:szCs w:val="24"/>
              </w:rPr>
            </w:pPr>
            <w:r w:rsidRPr="00675224">
              <w:rPr>
                <w:rFonts w:cstheme="minorHAnsi"/>
                <w:sz w:val="24"/>
                <w:szCs w:val="24"/>
              </w:rPr>
              <w:t>20 additional Edmentum Courseware licenses </w:t>
            </w:r>
          </w:p>
          <w:p w14:paraId="0A0E5883" w14:textId="65678899" w:rsidR="00E66BC5" w:rsidRPr="008C1182" w:rsidRDefault="00675224" w:rsidP="00675224">
            <w:pPr>
              <w:pStyle w:val="BodyText"/>
              <w:tabs>
                <w:tab w:val="left" w:pos="2980"/>
              </w:tabs>
              <w:ind w:left="0"/>
              <w:rPr>
                <w:rFonts w:asciiTheme="minorHAnsi" w:hAnsiTheme="minorHAnsi" w:cstheme="minorHAnsi"/>
                <w:sz w:val="24"/>
                <w:szCs w:val="24"/>
              </w:rPr>
            </w:pPr>
            <w:r w:rsidRPr="00675224">
              <w:rPr>
                <w:rFonts w:asciiTheme="minorHAnsi" w:hAnsiTheme="minorHAnsi" w:cstheme="minorHAnsi"/>
                <w:b/>
                <w:bCs/>
                <w:sz w:val="24"/>
                <w:szCs w:val="24"/>
              </w:rPr>
              <w:t>Estimated Cost</w:t>
            </w:r>
            <w:r w:rsidRPr="00675224">
              <w:rPr>
                <w:rFonts w:asciiTheme="minorHAnsi" w:hAnsiTheme="minorHAnsi" w:cstheme="minorHAnsi"/>
                <w:sz w:val="24"/>
                <w:szCs w:val="24"/>
              </w:rPr>
              <w:t>: $7,000 for 20 additional concurrent licenses</w:t>
            </w:r>
          </w:p>
        </w:tc>
        <w:tc>
          <w:tcPr>
            <w:tcW w:w="3294" w:type="dxa"/>
            <w:tcBorders>
              <w:left w:val="single" w:sz="4" w:space="0" w:color="auto"/>
              <w:right w:val="single" w:sz="6" w:space="0" w:color="auto"/>
            </w:tcBorders>
          </w:tcPr>
          <w:p w14:paraId="17418944" w14:textId="77777777" w:rsidR="00675224" w:rsidRPr="00675224" w:rsidRDefault="00675224" w:rsidP="00675224">
            <w:pPr>
              <w:rPr>
                <w:rFonts w:cstheme="minorHAnsi"/>
                <w:sz w:val="24"/>
                <w:szCs w:val="24"/>
              </w:rPr>
            </w:pPr>
            <w:r w:rsidRPr="00675224">
              <w:rPr>
                <w:rFonts w:cstheme="minorHAnsi"/>
                <w:sz w:val="24"/>
                <w:szCs w:val="24"/>
              </w:rPr>
              <w:t xml:space="preserve">Offered Accuplacer Test Prep Resources to dual enrollment students in lieu of Academic Success courseware. As of Fall 2022 and Spring 2023 semesters, 90 dual enrollment students were enrolled in Accuplacer test prep resources offered through the Learning Success and Learning Resource Centers. </w:t>
            </w:r>
          </w:p>
          <w:p w14:paraId="483BB28B" w14:textId="77777777" w:rsidR="00675224" w:rsidRPr="00675224" w:rsidRDefault="00675224" w:rsidP="00675224">
            <w:pPr>
              <w:rPr>
                <w:rFonts w:cstheme="minorHAnsi"/>
                <w:sz w:val="24"/>
                <w:szCs w:val="24"/>
              </w:rPr>
            </w:pPr>
          </w:p>
          <w:p w14:paraId="6366407A" w14:textId="67854EC7" w:rsidR="00F35DD6" w:rsidRPr="00E051C1" w:rsidRDefault="00675224" w:rsidP="00675224">
            <w:pPr>
              <w:rPr>
                <w:rFonts w:cstheme="minorHAnsi"/>
                <w:b/>
                <w:bCs/>
                <w:sz w:val="24"/>
                <w:szCs w:val="24"/>
              </w:rPr>
            </w:pPr>
            <w:r w:rsidRPr="00675224">
              <w:rPr>
                <w:rFonts w:cstheme="minorHAnsi"/>
                <w:sz w:val="24"/>
                <w:szCs w:val="24"/>
              </w:rPr>
              <w:t>Did not require additional Edmentum courseware licenses or cost.</w:t>
            </w:r>
          </w:p>
        </w:tc>
        <w:tc>
          <w:tcPr>
            <w:tcW w:w="3294" w:type="dxa"/>
            <w:tcBorders>
              <w:left w:val="single" w:sz="6" w:space="0" w:color="auto"/>
            </w:tcBorders>
          </w:tcPr>
          <w:p w14:paraId="64C46C93" w14:textId="2CEF43BE" w:rsidR="00E66BC5" w:rsidRPr="008C1182" w:rsidRDefault="00675224" w:rsidP="00E66BC5">
            <w:pPr>
              <w:rPr>
                <w:rFonts w:cstheme="minorHAnsi"/>
                <w:sz w:val="24"/>
                <w:szCs w:val="24"/>
              </w:rPr>
            </w:pPr>
            <w:r w:rsidRPr="00675224">
              <w:rPr>
                <w:rFonts w:cstheme="minorHAnsi"/>
                <w:sz w:val="24"/>
                <w:szCs w:val="24"/>
              </w:rPr>
              <w:t>Continue to collaborate with Dual Enrollment and the Learning Resource Center to offer Accuplacer Test Prep resources to dual enrollment students.</w:t>
            </w:r>
          </w:p>
        </w:tc>
      </w:tr>
      <w:tr w:rsidR="00E66BC5" w14:paraId="4C066E61" w14:textId="77777777" w:rsidTr="00DB4E21">
        <w:trPr>
          <w:trHeight w:val="65"/>
        </w:trPr>
        <w:tc>
          <w:tcPr>
            <w:tcW w:w="3212" w:type="dxa"/>
            <w:tcBorders>
              <w:bottom w:val="single" w:sz="4" w:space="0" w:color="auto"/>
              <w:right w:val="single" w:sz="6" w:space="0" w:color="auto"/>
            </w:tcBorders>
          </w:tcPr>
          <w:p w14:paraId="54336669" w14:textId="3BC2D86D" w:rsidR="00E66BC5" w:rsidRPr="008C1182" w:rsidRDefault="00E66BC5" w:rsidP="00E66BC5">
            <w:pPr>
              <w:pStyle w:val="BodyText"/>
              <w:spacing w:line="276" w:lineRule="auto"/>
              <w:ind w:right="186"/>
              <w:rPr>
                <w:spacing w:val="-1"/>
                <w:sz w:val="24"/>
                <w:szCs w:val="24"/>
              </w:rPr>
            </w:pPr>
            <w:bookmarkStart w:id="2" w:name="_Hlk112402455"/>
          </w:p>
        </w:tc>
        <w:tc>
          <w:tcPr>
            <w:tcW w:w="3558" w:type="dxa"/>
            <w:tcBorders>
              <w:left w:val="single" w:sz="6" w:space="0" w:color="auto"/>
              <w:bottom w:val="single" w:sz="4" w:space="0" w:color="auto"/>
              <w:right w:val="single" w:sz="4" w:space="0" w:color="auto"/>
            </w:tcBorders>
          </w:tcPr>
          <w:p w14:paraId="52ECBB36" w14:textId="4AEBF2DE" w:rsidR="00E66BC5" w:rsidRPr="008C1182" w:rsidRDefault="00E66BC5" w:rsidP="00E66BC5">
            <w:pPr>
              <w:widowControl w:val="0"/>
              <w:tabs>
                <w:tab w:val="left" w:pos="2980"/>
              </w:tabs>
              <w:rPr>
                <w:rFonts w:cstheme="minorHAnsi"/>
                <w:sz w:val="24"/>
                <w:szCs w:val="24"/>
              </w:rPr>
            </w:pPr>
          </w:p>
        </w:tc>
        <w:tc>
          <w:tcPr>
            <w:tcW w:w="3294" w:type="dxa"/>
            <w:tcBorders>
              <w:left w:val="single" w:sz="4" w:space="0" w:color="auto"/>
              <w:bottom w:val="single" w:sz="4" w:space="0" w:color="auto"/>
              <w:right w:val="single" w:sz="6" w:space="0" w:color="auto"/>
            </w:tcBorders>
          </w:tcPr>
          <w:p w14:paraId="5ED6E420" w14:textId="465C32C4" w:rsidR="00E66BC5" w:rsidRPr="008C1182" w:rsidRDefault="00E66BC5" w:rsidP="00E66BC5">
            <w:pPr>
              <w:textAlignment w:val="baseline"/>
              <w:rPr>
                <w:rFonts w:cstheme="minorHAnsi"/>
                <w:sz w:val="24"/>
                <w:szCs w:val="24"/>
              </w:rPr>
            </w:pPr>
          </w:p>
        </w:tc>
        <w:tc>
          <w:tcPr>
            <w:tcW w:w="3294" w:type="dxa"/>
            <w:tcBorders>
              <w:left w:val="single" w:sz="6" w:space="0" w:color="auto"/>
              <w:bottom w:val="single" w:sz="4" w:space="0" w:color="auto"/>
            </w:tcBorders>
          </w:tcPr>
          <w:p w14:paraId="74FA93D6" w14:textId="5880B178" w:rsidR="00E66BC5" w:rsidRPr="008C1182" w:rsidRDefault="00E66BC5" w:rsidP="00E66BC5">
            <w:pPr>
              <w:rPr>
                <w:rFonts w:cstheme="minorHAnsi"/>
                <w:sz w:val="24"/>
                <w:szCs w:val="24"/>
              </w:rPr>
            </w:pPr>
          </w:p>
        </w:tc>
      </w:tr>
      <w:tr w:rsidR="00E66BC5" w14:paraId="539679F9" w14:textId="77777777" w:rsidTr="00DB4E21">
        <w:trPr>
          <w:trHeight w:val="54"/>
        </w:trPr>
        <w:tc>
          <w:tcPr>
            <w:tcW w:w="3212" w:type="dxa"/>
            <w:tcBorders>
              <w:top w:val="single" w:sz="4" w:space="0" w:color="auto"/>
              <w:left w:val="single" w:sz="4" w:space="0" w:color="auto"/>
              <w:bottom w:val="single" w:sz="4" w:space="0" w:color="auto"/>
              <w:right w:val="single" w:sz="4" w:space="0" w:color="auto"/>
            </w:tcBorders>
          </w:tcPr>
          <w:p w14:paraId="3A4F4ECA" w14:textId="77777777" w:rsidR="00DB4E21" w:rsidRPr="00DB4E21" w:rsidRDefault="00DB4E21" w:rsidP="00DB4E21">
            <w:pPr>
              <w:rPr>
                <w:sz w:val="24"/>
                <w:szCs w:val="24"/>
              </w:rPr>
            </w:pPr>
            <w:bookmarkStart w:id="3" w:name="_Hlk112402993"/>
            <w:r w:rsidRPr="00DB4E21">
              <w:rPr>
                <w:sz w:val="24"/>
                <w:szCs w:val="24"/>
              </w:rPr>
              <w:t xml:space="preserve">The Learning Success Centers will provide open, convenient, and free access to computers and the Internet. Day and evening access to computer labs at Jefferson State’s Jefferson and Shelby-Hoover Campuses. </w:t>
            </w:r>
          </w:p>
          <w:p w14:paraId="0F8E6976" w14:textId="77777777" w:rsidR="00DB4E21" w:rsidRPr="00DB4E21" w:rsidRDefault="00DB4E21" w:rsidP="00DB4E21">
            <w:pPr>
              <w:rPr>
                <w:sz w:val="24"/>
                <w:szCs w:val="24"/>
              </w:rPr>
            </w:pPr>
          </w:p>
          <w:p w14:paraId="785E63A2" w14:textId="77777777" w:rsidR="00E66BC5" w:rsidRPr="008C1182" w:rsidRDefault="00E66BC5" w:rsidP="00E66BC5">
            <w:pPr>
              <w:pStyle w:val="BodyText"/>
              <w:spacing w:line="276" w:lineRule="auto"/>
              <w:ind w:right="186"/>
              <w:rPr>
                <w:rFonts w:asciiTheme="minorHAnsi" w:hAnsiTheme="minorHAnsi" w:cstheme="minorHAnsi"/>
                <w:sz w:val="24"/>
                <w:szCs w:val="24"/>
              </w:rPr>
            </w:pPr>
          </w:p>
          <w:p w14:paraId="58212960" w14:textId="77777777" w:rsidR="00E66BC5" w:rsidRPr="008C1182" w:rsidRDefault="00E66BC5" w:rsidP="00E66BC5">
            <w:pPr>
              <w:rPr>
                <w:rFonts w:cstheme="minorHAnsi"/>
                <w:sz w:val="24"/>
                <w:szCs w:val="24"/>
              </w:rPr>
            </w:pPr>
          </w:p>
          <w:p w14:paraId="2DC55FF9" w14:textId="26CCC350" w:rsidR="00E66BC5" w:rsidRPr="008C1182" w:rsidRDefault="00E66BC5" w:rsidP="00E66BC5">
            <w:pPr>
              <w:rPr>
                <w:rFonts w:cstheme="minorHAnsi"/>
                <w:sz w:val="24"/>
                <w:szCs w:val="24"/>
              </w:rPr>
            </w:pPr>
          </w:p>
        </w:tc>
        <w:tc>
          <w:tcPr>
            <w:tcW w:w="3558" w:type="dxa"/>
            <w:tcBorders>
              <w:top w:val="single" w:sz="4" w:space="0" w:color="auto"/>
              <w:left w:val="single" w:sz="4" w:space="0" w:color="auto"/>
              <w:bottom w:val="single" w:sz="4" w:space="0" w:color="auto"/>
              <w:right w:val="single" w:sz="4" w:space="0" w:color="auto"/>
            </w:tcBorders>
          </w:tcPr>
          <w:p w14:paraId="0B3D2B75" w14:textId="13FE3E9B" w:rsidR="00E66BC5" w:rsidRPr="008C1182" w:rsidRDefault="00E66BC5" w:rsidP="00DB4E21">
            <w:pPr>
              <w:tabs>
                <w:tab w:val="left" w:pos="2980"/>
              </w:tabs>
              <w:rPr>
                <w:rFonts w:eastAsia="Calibri" w:cstheme="minorHAnsi"/>
                <w:sz w:val="24"/>
                <w:szCs w:val="24"/>
              </w:rPr>
            </w:pPr>
            <w:r w:rsidRPr="008C1182">
              <w:rPr>
                <w:rFonts w:cstheme="minorHAnsi"/>
                <w:spacing w:val="-1"/>
                <w:sz w:val="24"/>
                <w:szCs w:val="24"/>
              </w:rPr>
              <w:t>Continue</w:t>
            </w:r>
            <w:r w:rsidRPr="008C1182">
              <w:rPr>
                <w:rFonts w:cstheme="minorHAnsi"/>
                <w:spacing w:val="1"/>
                <w:sz w:val="24"/>
                <w:szCs w:val="24"/>
              </w:rPr>
              <w:t xml:space="preserve"> </w:t>
            </w:r>
            <w:r w:rsidRPr="008C1182">
              <w:rPr>
                <w:rFonts w:cstheme="minorHAnsi"/>
                <w:sz w:val="24"/>
                <w:szCs w:val="24"/>
              </w:rPr>
              <w:t>to</w:t>
            </w:r>
            <w:r w:rsidRPr="008C1182">
              <w:rPr>
                <w:rFonts w:cstheme="minorHAnsi"/>
                <w:spacing w:val="1"/>
                <w:sz w:val="24"/>
                <w:szCs w:val="24"/>
              </w:rPr>
              <w:t xml:space="preserve"> </w:t>
            </w:r>
            <w:r w:rsidRPr="008C1182">
              <w:rPr>
                <w:rFonts w:cstheme="minorHAnsi"/>
                <w:spacing w:val="-1"/>
                <w:sz w:val="24"/>
                <w:szCs w:val="24"/>
              </w:rPr>
              <w:t>provide</w:t>
            </w:r>
            <w:r w:rsidRPr="008C1182">
              <w:rPr>
                <w:rFonts w:cstheme="minorHAnsi"/>
                <w:spacing w:val="1"/>
                <w:sz w:val="24"/>
                <w:szCs w:val="24"/>
              </w:rPr>
              <w:t xml:space="preserve"> </w:t>
            </w:r>
            <w:r w:rsidRPr="008C1182">
              <w:rPr>
                <w:rFonts w:cstheme="minorHAnsi"/>
                <w:spacing w:val="-1"/>
                <w:sz w:val="24"/>
                <w:szCs w:val="24"/>
              </w:rPr>
              <w:t>funding</w:t>
            </w:r>
            <w:r w:rsidRPr="008C1182">
              <w:rPr>
                <w:rFonts w:cstheme="minorHAnsi"/>
                <w:sz w:val="24"/>
                <w:szCs w:val="24"/>
              </w:rPr>
              <w:t xml:space="preserve"> </w:t>
            </w:r>
            <w:r w:rsidRPr="008C1182">
              <w:rPr>
                <w:rFonts w:cstheme="minorHAnsi"/>
                <w:spacing w:val="-1"/>
                <w:sz w:val="24"/>
                <w:szCs w:val="24"/>
              </w:rPr>
              <w:t>for staff</w:t>
            </w:r>
            <w:r w:rsidRPr="008C1182">
              <w:rPr>
                <w:rFonts w:cstheme="minorHAnsi"/>
                <w:sz w:val="24"/>
                <w:szCs w:val="24"/>
              </w:rPr>
              <w:t xml:space="preserve"> </w:t>
            </w:r>
            <w:r w:rsidRPr="008C1182">
              <w:rPr>
                <w:rFonts w:cstheme="minorHAnsi"/>
                <w:spacing w:val="-1"/>
                <w:sz w:val="24"/>
                <w:szCs w:val="24"/>
              </w:rPr>
              <w:t>and equipment.</w:t>
            </w:r>
          </w:p>
          <w:p w14:paraId="778DEA29" w14:textId="77777777" w:rsidR="00DB4E21" w:rsidRDefault="00DB4E21" w:rsidP="00E66BC5">
            <w:pPr>
              <w:rPr>
                <w:rFonts w:cstheme="minorHAnsi"/>
                <w:sz w:val="24"/>
                <w:szCs w:val="24"/>
              </w:rPr>
            </w:pPr>
          </w:p>
          <w:p w14:paraId="07FF9A0B" w14:textId="6193A0D5" w:rsidR="00E66BC5" w:rsidRPr="008C1182" w:rsidRDefault="00DB4E21" w:rsidP="00E66BC5">
            <w:pPr>
              <w:rPr>
                <w:rFonts w:cstheme="minorHAnsi"/>
                <w:sz w:val="24"/>
                <w:szCs w:val="24"/>
              </w:rPr>
            </w:pPr>
            <w:r w:rsidRPr="00DB4E21">
              <w:rPr>
                <w:rFonts w:cstheme="minorHAnsi"/>
                <w:sz w:val="24"/>
                <w:szCs w:val="24"/>
              </w:rPr>
              <w:t>Adequate funding was provided to support staff and supplies at the Jefferson Campus and Shelby-Hoover Campus.</w:t>
            </w:r>
          </w:p>
        </w:tc>
        <w:tc>
          <w:tcPr>
            <w:tcW w:w="3294" w:type="dxa"/>
            <w:tcBorders>
              <w:top w:val="single" w:sz="4" w:space="0" w:color="auto"/>
              <w:left w:val="single" w:sz="4" w:space="0" w:color="auto"/>
              <w:bottom w:val="single" w:sz="4" w:space="0" w:color="auto"/>
              <w:right w:val="single" w:sz="4" w:space="0" w:color="auto"/>
            </w:tcBorders>
          </w:tcPr>
          <w:p w14:paraId="28827260" w14:textId="77777777" w:rsidR="00DB4E21" w:rsidRPr="00DB4E21" w:rsidRDefault="00DB4E21" w:rsidP="00DB4E21">
            <w:pPr>
              <w:rPr>
                <w:rFonts w:eastAsia="Calibri" w:cstheme="minorHAnsi"/>
                <w:sz w:val="24"/>
                <w:szCs w:val="24"/>
              </w:rPr>
            </w:pPr>
            <w:r w:rsidRPr="00DB4E21">
              <w:rPr>
                <w:rFonts w:eastAsia="Calibri" w:cstheme="minorHAnsi"/>
                <w:sz w:val="24"/>
                <w:szCs w:val="24"/>
              </w:rPr>
              <w:t>728 students and community members visited the Learning Success Centers on campus during Fall 2022 and Spring 2023 semesters.</w:t>
            </w:r>
            <w:r w:rsidRPr="00DB4E21">
              <w:rPr>
                <w:rFonts w:eastAsia="Calibri" w:cstheme="minorHAnsi"/>
                <w:bCs/>
                <w:sz w:val="24"/>
                <w:szCs w:val="24"/>
              </w:rPr>
              <w:t xml:space="preserve"> </w:t>
            </w:r>
          </w:p>
          <w:p w14:paraId="73C54F84" w14:textId="1754BA79" w:rsidR="00E66BC5" w:rsidRPr="008C1182" w:rsidRDefault="00E66BC5" w:rsidP="00E66BC5">
            <w:pPr>
              <w:rPr>
                <w:rFonts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14:paraId="73886BA4" w14:textId="53B27EF2" w:rsidR="00E66BC5" w:rsidRPr="008C1182" w:rsidRDefault="00DB4E21" w:rsidP="00E66BC5">
            <w:pPr>
              <w:rPr>
                <w:sz w:val="24"/>
                <w:szCs w:val="24"/>
              </w:rPr>
            </w:pPr>
            <w:r w:rsidRPr="00DB4E21">
              <w:rPr>
                <w:rFonts w:eastAsia="Calibri"/>
                <w:sz w:val="24"/>
                <w:szCs w:val="24"/>
              </w:rPr>
              <w:t>Continue to collaborate with the Learning Resource Center to promote resources to students that are taking courses online and on campus.</w:t>
            </w:r>
          </w:p>
        </w:tc>
      </w:tr>
      <w:bookmarkEnd w:id="3"/>
      <w:tr w:rsidR="00E66BC5" w14:paraId="7F967D68" w14:textId="77777777" w:rsidTr="00DB4E21">
        <w:trPr>
          <w:trHeight w:val="80"/>
        </w:trPr>
        <w:tc>
          <w:tcPr>
            <w:tcW w:w="3212" w:type="dxa"/>
            <w:tcBorders>
              <w:top w:val="single" w:sz="4" w:space="0" w:color="auto"/>
              <w:left w:val="single" w:sz="4" w:space="0" w:color="auto"/>
              <w:bottom w:val="nil"/>
              <w:right w:val="single" w:sz="4" w:space="0" w:color="auto"/>
            </w:tcBorders>
          </w:tcPr>
          <w:p w14:paraId="67DF104D" w14:textId="6A4C8ADC" w:rsidR="00E66BC5" w:rsidRPr="008C1182" w:rsidRDefault="00E66BC5" w:rsidP="00E66BC5">
            <w:pPr>
              <w:rPr>
                <w:rFonts w:cstheme="minorHAnsi"/>
                <w:sz w:val="24"/>
                <w:szCs w:val="24"/>
              </w:rPr>
            </w:pPr>
          </w:p>
        </w:tc>
        <w:tc>
          <w:tcPr>
            <w:tcW w:w="3558" w:type="dxa"/>
            <w:tcBorders>
              <w:top w:val="single" w:sz="4" w:space="0" w:color="auto"/>
              <w:left w:val="single" w:sz="4" w:space="0" w:color="auto"/>
              <w:bottom w:val="nil"/>
              <w:right w:val="single" w:sz="4" w:space="0" w:color="auto"/>
            </w:tcBorders>
          </w:tcPr>
          <w:p w14:paraId="738150F5" w14:textId="77777777" w:rsidR="00E66BC5" w:rsidRPr="008C1182" w:rsidRDefault="00E66BC5" w:rsidP="00E66BC5">
            <w:pPr>
              <w:rPr>
                <w:rFonts w:cstheme="minorHAnsi"/>
                <w:spacing w:val="-1"/>
                <w:sz w:val="24"/>
                <w:szCs w:val="24"/>
              </w:rPr>
            </w:pPr>
          </w:p>
        </w:tc>
        <w:tc>
          <w:tcPr>
            <w:tcW w:w="3294" w:type="dxa"/>
            <w:tcBorders>
              <w:top w:val="single" w:sz="4" w:space="0" w:color="auto"/>
              <w:left w:val="single" w:sz="4" w:space="0" w:color="auto"/>
              <w:bottom w:val="nil"/>
              <w:right w:val="single" w:sz="4" w:space="0" w:color="auto"/>
            </w:tcBorders>
          </w:tcPr>
          <w:p w14:paraId="430BB1ED" w14:textId="27B748E9" w:rsidR="00E66BC5" w:rsidRPr="008C1182" w:rsidRDefault="00E66BC5" w:rsidP="00E66BC5">
            <w:pPr>
              <w:rPr>
                <w:rFonts w:cstheme="minorHAnsi"/>
                <w:sz w:val="24"/>
                <w:szCs w:val="24"/>
              </w:rPr>
            </w:pPr>
          </w:p>
        </w:tc>
        <w:tc>
          <w:tcPr>
            <w:tcW w:w="3294" w:type="dxa"/>
            <w:tcBorders>
              <w:top w:val="single" w:sz="4" w:space="0" w:color="auto"/>
              <w:left w:val="single" w:sz="4" w:space="0" w:color="auto"/>
              <w:bottom w:val="nil"/>
              <w:right w:val="single" w:sz="4" w:space="0" w:color="auto"/>
            </w:tcBorders>
          </w:tcPr>
          <w:p w14:paraId="32B5B2BB" w14:textId="3D74E691" w:rsidR="00E66BC5" w:rsidRPr="008C1182" w:rsidRDefault="00E66BC5" w:rsidP="00E66BC5">
            <w:pPr>
              <w:rPr>
                <w:rFonts w:cstheme="minorHAnsi"/>
                <w:sz w:val="24"/>
                <w:szCs w:val="24"/>
              </w:rPr>
            </w:pPr>
          </w:p>
        </w:tc>
      </w:tr>
      <w:bookmarkEnd w:id="2"/>
      <w:tr w:rsidR="00DB4E21" w:rsidRPr="008C1182" w14:paraId="10A5C855" w14:textId="77777777" w:rsidTr="00DB4E21">
        <w:trPr>
          <w:trHeight w:val="54"/>
        </w:trPr>
        <w:tc>
          <w:tcPr>
            <w:tcW w:w="3212" w:type="dxa"/>
            <w:tcBorders>
              <w:top w:val="nil"/>
              <w:left w:val="single" w:sz="4" w:space="0" w:color="auto"/>
              <w:bottom w:val="single" w:sz="4" w:space="0" w:color="auto"/>
              <w:right w:val="single" w:sz="4" w:space="0" w:color="auto"/>
            </w:tcBorders>
          </w:tcPr>
          <w:p w14:paraId="6FB92C64" w14:textId="5E2A041B" w:rsidR="00DB4E21" w:rsidRPr="008C1182" w:rsidRDefault="00DB4E21" w:rsidP="00FE4FD8">
            <w:pPr>
              <w:rPr>
                <w:rFonts w:cstheme="minorHAnsi"/>
                <w:sz w:val="24"/>
                <w:szCs w:val="24"/>
              </w:rPr>
            </w:pPr>
            <w:r w:rsidRPr="008C1182">
              <w:rPr>
                <w:rFonts w:cstheme="minorHAnsi"/>
                <w:b/>
                <w:sz w:val="24"/>
                <w:szCs w:val="24"/>
              </w:rPr>
              <w:t xml:space="preserve">Submission date:   </w:t>
            </w:r>
            <w:r>
              <w:rPr>
                <w:rFonts w:cstheme="minorHAnsi"/>
                <w:b/>
                <w:sz w:val="24"/>
                <w:szCs w:val="24"/>
              </w:rPr>
              <w:t>6</w:t>
            </w:r>
            <w:r w:rsidRPr="008C1182">
              <w:rPr>
                <w:rFonts w:cstheme="minorHAnsi"/>
                <w:b/>
                <w:sz w:val="24"/>
                <w:szCs w:val="24"/>
              </w:rPr>
              <w:t>/</w:t>
            </w:r>
            <w:r>
              <w:rPr>
                <w:rFonts w:cstheme="minorHAnsi"/>
                <w:b/>
                <w:sz w:val="24"/>
                <w:szCs w:val="24"/>
              </w:rPr>
              <w:t>2</w:t>
            </w:r>
            <w:r>
              <w:rPr>
                <w:rFonts w:cstheme="minorHAnsi"/>
                <w:b/>
                <w:sz w:val="24"/>
                <w:szCs w:val="24"/>
              </w:rPr>
              <w:t>1</w:t>
            </w:r>
            <w:r w:rsidRPr="008C1182">
              <w:rPr>
                <w:rFonts w:cstheme="minorHAnsi"/>
                <w:b/>
                <w:sz w:val="24"/>
                <w:szCs w:val="24"/>
              </w:rPr>
              <w:t>/20</w:t>
            </w:r>
            <w:r>
              <w:rPr>
                <w:rFonts w:cstheme="minorHAnsi"/>
                <w:b/>
                <w:sz w:val="24"/>
                <w:szCs w:val="24"/>
              </w:rPr>
              <w:t>2</w:t>
            </w:r>
            <w:r>
              <w:rPr>
                <w:rFonts w:cstheme="minorHAnsi"/>
                <w:b/>
                <w:sz w:val="24"/>
                <w:szCs w:val="24"/>
              </w:rPr>
              <w:t>3</w:t>
            </w:r>
          </w:p>
        </w:tc>
        <w:tc>
          <w:tcPr>
            <w:tcW w:w="3558" w:type="dxa"/>
            <w:tcBorders>
              <w:top w:val="nil"/>
              <w:left w:val="single" w:sz="4" w:space="0" w:color="auto"/>
              <w:bottom w:val="single" w:sz="4" w:space="0" w:color="auto"/>
              <w:right w:val="single" w:sz="4" w:space="0" w:color="auto"/>
            </w:tcBorders>
          </w:tcPr>
          <w:p w14:paraId="2DE8FC6E" w14:textId="77777777" w:rsidR="00DB4E21" w:rsidRDefault="00DB4E21" w:rsidP="00FE4FD8">
            <w:pPr>
              <w:rPr>
                <w:rFonts w:cstheme="minorHAnsi"/>
                <w:b/>
                <w:sz w:val="24"/>
                <w:szCs w:val="24"/>
              </w:rPr>
            </w:pPr>
            <w:r>
              <w:rPr>
                <w:rFonts w:cstheme="minorHAnsi"/>
                <w:b/>
                <w:sz w:val="24"/>
                <w:szCs w:val="24"/>
              </w:rPr>
              <w:t xml:space="preserve"> S</w:t>
            </w:r>
            <w:r w:rsidRPr="008C1182">
              <w:rPr>
                <w:rFonts w:cstheme="minorHAnsi"/>
                <w:b/>
                <w:sz w:val="24"/>
                <w:szCs w:val="24"/>
              </w:rPr>
              <w:t>ubmitted by:</w:t>
            </w:r>
          </w:p>
          <w:p w14:paraId="5E28DB5B" w14:textId="77777777" w:rsidR="00DB4E21" w:rsidRPr="008C1182" w:rsidRDefault="00DB4E21" w:rsidP="00FE4FD8">
            <w:pPr>
              <w:rPr>
                <w:rFonts w:cstheme="minorHAnsi"/>
                <w:b/>
                <w:sz w:val="24"/>
                <w:szCs w:val="24"/>
              </w:rPr>
            </w:pPr>
            <w:r w:rsidRPr="008C1182">
              <w:rPr>
                <w:rFonts w:cstheme="minorHAnsi"/>
                <w:b/>
                <w:sz w:val="24"/>
                <w:szCs w:val="24"/>
              </w:rPr>
              <w:t xml:space="preserve"> Michael M. Payne</w:t>
            </w:r>
          </w:p>
          <w:p w14:paraId="60741244" w14:textId="77777777" w:rsidR="00DB4E21" w:rsidRPr="008C1182" w:rsidRDefault="00DB4E21" w:rsidP="00FE4FD8">
            <w:pPr>
              <w:rPr>
                <w:rFonts w:cstheme="minorHAnsi"/>
                <w:spacing w:val="-1"/>
                <w:sz w:val="24"/>
                <w:szCs w:val="24"/>
              </w:rPr>
            </w:pPr>
          </w:p>
        </w:tc>
        <w:tc>
          <w:tcPr>
            <w:tcW w:w="3294" w:type="dxa"/>
            <w:tcBorders>
              <w:top w:val="nil"/>
              <w:left w:val="single" w:sz="4" w:space="0" w:color="auto"/>
              <w:bottom w:val="single" w:sz="4" w:space="0" w:color="auto"/>
              <w:right w:val="single" w:sz="4" w:space="0" w:color="auto"/>
            </w:tcBorders>
          </w:tcPr>
          <w:p w14:paraId="5FED9D3B" w14:textId="77777777" w:rsidR="00DB4E21" w:rsidRPr="008C1182" w:rsidRDefault="00DB4E21" w:rsidP="00FE4FD8">
            <w:pPr>
              <w:rPr>
                <w:rFonts w:cstheme="minorHAnsi"/>
                <w:sz w:val="24"/>
                <w:szCs w:val="24"/>
              </w:rPr>
            </w:pPr>
          </w:p>
        </w:tc>
        <w:tc>
          <w:tcPr>
            <w:tcW w:w="3294" w:type="dxa"/>
            <w:tcBorders>
              <w:top w:val="nil"/>
              <w:left w:val="single" w:sz="4" w:space="0" w:color="auto"/>
              <w:bottom w:val="single" w:sz="4" w:space="0" w:color="auto"/>
              <w:right w:val="single" w:sz="4" w:space="0" w:color="auto"/>
            </w:tcBorders>
          </w:tcPr>
          <w:p w14:paraId="39B5DB2B" w14:textId="77777777" w:rsidR="00DB4E21" w:rsidRPr="008C1182" w:rsidRDefault="00DB4E21" w:rsidP="00FE4FD8">
            <w:pPr>
              <w:rPr>
                <w:rFonts w:cstheme="minorHAnsi"/>
                <w:sz w:val="24"/>
                <w:szCs w:val="24"/>
              </w:rPr>
            </w:pPr>
          </w:p>
        </w:tc>
      </w:tr>
    </w:tbl>
    <w:p w14:paraId="10FDDF52" w14:textId="77777777" w:rsidR="00C349EB" w:rsidRDefault="00C349EB" w:rsidP="00C349EB"/>
    <w:sectPr w:rsidR="00C349EB" w:rsidSect="00102B7D">
      <w:footerReference w:type="default" r:id="rId1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177A" w14:textId="77777777" w:rsidR="00A158CE" w:rsidRDefault="00A158CE" w:rsidP="00A77932">
      <w:pPr>
        <w:spacing w:after="0" w:line="240" w:lineRule="auto"/>
      </w:pPr>
      <w:r>
        <w:separator/>
      </w:r>
    </w:p>
  </w:endnote>
  <w:endnote w:type="continuationSeparator" w:id="0">
    <w:p w14:paraId="240B2BC8" w14:textId="77777777" w:rsidR="00A158CE" w:rsidRDefault="00A158CE"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5E2D" w14:textId="77777777" w:rsidR="0018427F" w:rsidRDefault="0018427F" w:rsidP="00A77932">
    <w:pPr>
      <w:pStyle w:val="Footer"/>
      <w:jc w:val="right"/>
    </w:pPr>
  </w:p>
  <w:p w14:paraId="0F44A371" w14:textId="77777777" w:rsidR="0018427F" w:rsidRDefault="0018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74CE" w14:textId="77777777" w:rsidR="00A158CE" w:rsidRDefault="00A158CE" w:rsidP="00A77932">
      <w:pPr>
        <w:spacing w:after="0" w:line="240" w:lineRule="auto"/>
      </w:pPr>
      <w:r>
        <w:separator/>
      </w:r>
    </w:p>
  </w:footnote>
  <w:footnote w:type="continuationSeparator" w:id="0">
    <w:p w14:paraId="74F2BC1B" w14:textId="77777777" w:rsidR="00A158CE" w:rsidRDefault="00A158CE"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020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2498"/>
    <w:rsid w:val="00010DC7"/>
    <w:rsid w:val="000231C7"/>
    <w:rsid w:val="00033989"/>
    <w:rsid w:val="000814DD"/>
    <w:rsid w:val="000A5620"/>
    <w:rsid w:val="000C38AA"/>
    <w:rsid w:val="000D1493"/>
    <w:rsid w:val="000D24A6"/>
    <w:rsid w:val="00102B7D"/>
    <w:rsid w:val="00106AB2"/>
    <w:rsid w:val="00113B73"/>
    <w:rsid w:val="001239AA"/>
    <w:rsid w:val="00126527"/>
    <w:rsid w:val="00137C13"/>
    <w:rsid w:val="001537A5"/>
    <w:rsid w:val="00153EC1"/>
    <w:rsid w:val="00163DD0"/>
    <w:rsid w:val="00175106"/>
    <w:rsid w:val="0018427F"/>
    <w:rsid w:val="001922AF"/>
    <w:rsid w:val="0019669B"/>
    <w:rsid w:val="001A1BF2"/>
    <w:rsid w:val="001A778A"/>
    <w:rsid w:val="001B2F81"/>
    <w:rsid w:val="001D65DA"/>
    <w:rsid w:val="001E3F02"/>
    <w:rsid w:val="001F1503"/>
    <w:rsid w:val="00200D78"/>
    <w:rsid w:val="0021219A"/>
    <w:rsid w:val="00223579"/>
    <w:rsid w:val="00223D12"/>
    <w:rsid w:val="002401B4"/>
    <w:rsid w:val="00282FCA"/>
    <w:rsid w:val="0028622D"/>
    <w:rsid w:val="002A2491"/>
    <w:rsid w:val="002A44E2"/>
    <w:rsid w:val="002C515C"/>
    <w:rsid w:val="002D2050"/>
    <w:rsid w:val="002D3CB9"/>
    <w:rsid w:val="002D40C3"/>
    <w:rsid w:val="0030775D"/>
    <w:rsid w:val="003402E9"/>
    <w:rsid w:val="00340A60"/>
    <w:rsid w:val="00345C27"/>
    <w:rsid w:val="003864EB"/>
    <w:rsid w:val="0038766C"/>
    <w:rsid w:val="003937FB"/>
    <w:rsid w:val="00396805"/>
    <w:rsid w:val="00396D45"/>
    <w:rsid w:val="00397D38"/>
    <w:rsid w:val="003B6F7F"/>
    <w:rsid w:val="003C28EB"/>
    <w:rsid w:val="003C5E2C"/>
    <w:rsid w:val="003D1093"/>
    <w:rsid w:val="003D13FA"/>
    <w:rsid w:val="003E7053"/>
    <w:rsid w:val="003F0351"/>
    <w:rsid w:val="004068BA"/>
    <w:rsid w:val="00420F5E"/>
    <w:rsid w:val="00463106"/>
    <w:rsid w:val="00470668"/>
    <w:rsid w:val="0047111A"/>
    <w:rsid w:val="00471D73"/>
    <w:rsid w:val="004733B0"/>
    <w:rsid w:val="00481715"/>
    <w:rsid w:val="00482290"/>
    <w:rsid w:val="00482324"/>
    <w:rsid w:val="00484A11"/>
    <w:rsid w:val="00490115"/>
    <w:rsid w:val="004C0357"/>
    <w:rsid w:val="004C79D4"/>
    <w:rsid w:val="004D35A9"/>
    <w:rsid w:val="004F4A03"/>
    <w:rsid w:val="00500CE7"/>
    <w:rsid w:val="00503931"/>
    <w:rsid w:val="00507D39"/>
    <w:rsid w:val="00510D1E"/>
    <w:rsid w:val="005163F6"/>
    <w:rsid w:val="00526591"/>
    <w:rsid w:val="0053213B"/>
    <w:rsid w:val="00540DDB"/>
    <w:rsid w:val="005446F7"/>
    <w:rsid w:val="005558DC"/>
    <w:rsid w:val="00566ADB"/>
    <w:rsid w:val="0056721F"/>
    <w:rsid w:val="00576CDE"/>
    <w:rsid w:val="00584411"/>
    <w:rsid w:val="005B030A"/>
    <w:rsid w:val="005B0D14"/>
    <w:rsid w:val="005B700B"/>
    <w:rsid w:val="005B7F4A"/>
    <w:rsid w:val="005F4935"/>
    <w:rsid w:val="00605713"/>
    <w:rsid w:val="006068C9"/>
    <w:rsid w:val="00606CA5"/>
    <w:rsid w:val="00612F06"/>
    <w:rsid w:val="00615039"/>
    <w:rsid w:val="00642B72"/>
    <w:rsid w:val="006568ED"/>
    <w:rsid w:val="00656D67"/>
    <w:rsid w:val="00672198"/>
    <w:rsid w:val="00675224"/>
    <w:rsid w:val="00677DE1"/>
    <w:rsid w:val="00680EEC"/>
    <w:rsid w:val="00691FF1"/>
    <w:rsid w:val="006B02A7"/>
    <w:rsid w:val="006B25FD"/>
    <w:rsid w:val="006C0520"/>
    <w:rsid w:val="006F7FA3"/>
    <w:rsid w:val="00700883"/>
    <w:rsid w:val="00713ECA"/>
    <w:rsid w:val="0072472B"/>
    <w:rsid w:val="00730FC6"/>
    <w:rsid w:val="0074606C"/>
    <w:rsid w:val="007469CA"/>
    <w:rsid w:val="0075430C"/>
    <w:rsid w:val="00754330"/>
    <w:rsid w:val="0075659F"/>
    <w:rsid w:val="00764134"/>
    <w:rsid w:val="0077517E"/>
    <w:rsid w:val="007776C8"/>
    <w:rsid w:val="00780805"/>
    <w:rsid w:val="007809B6"/>
    <w:rsid w:val="00782A26"/>
    <w:rsid w:val="00785E98"/>
    <w:rsid w:val="00792873"/>
    <w:rsid w:val="007951A8"/>
    <w:rsid w:val="00797138"/>
    <w:rsid w:val="007A555C"/>
    <w:rsid w:val="007B0220"/>
    <w:rsid w:val="007B76FF"/>
    <w:rsid w:val="007C3D61"/>
    <w:rsid w:val="007D0461"/>
    <w:rsid w:val="007D2A65"/>
    <w:rsid w:val="007F5FC6"/>
    <w:rsid w:val="007F747F"/>
    <w:rsid w:val="0081653C"/>
    <w:rsid w:val="00820FBC"/>
    <w:rsid w:val="008235F0"/>
    <w:rsid w:val="0082703C"/>
    <w:rsid w:val="00827369"/>
    <w:rsid w:val="00833F42"/>
    <w:rsid w:val="00834CF6"/>
    <w:rsid w:val="008425DC"/>
    <w:rsid w:val="008434D4"/>
    <w:rsid w:val="00851F45"/>
    <w:rsid w:val="00853D98"/>
    <w:rsid w:val="008540FA"/>
    <w:rsid w:val="00854395"/>
    <w:rsid w:val="00870ACB"/>
    <w:rsid w:val="008738CA"/>
    <w:rsid w:val="00875CEA"/>
    <w:rsid w:val="00891F7D"/>
    <w:rsid w:val="00895F4E"/>
    <w:rsid w:val="008A0AEA"/>
    <w:rsid w:val="008A2DD9"/>
    <w:rsid w:val="008A3BC9"/>
    <w:rsid w:val="008B044F"/>
    <w:rsid w:val="008C1182"/>
    <w:rsid w:val="008C783F"/>
    <w:rsid w:val="008E4184"/>
    <w:rsid w:val="008E4346"/>
    <w:rsid w:val="008F1F1B"/>
    <w:rsid w:val="009467B4"/>
    <w:rsid w:val="00954D24"/>
    <w:rsid w:val="0096349B"/>
    <w:rsid w:val="00974948"/>
    <w:rsid w:val="009827AA"/>
    <w:rsid w:val="00994920"/>
    <w:rsid w:val="009C2DC1"/>
    <w:rsid w:val="009F048F"/>
    <w:rsid w:val="009F2329"/>
    <w:rsid w:val="00A158CE"/>
    <w:rsid w:val="00A2130B"/>
    <w:rsid w:val="00A23671"/>
    <w:rsid w:val="00A373C7"/>
    <w:rsid w:val="00A77932"/>
    <w:rsid w:val="00A824BD"/>
    <w:rsid w:val="00A83B48"/>
    <w:rsid w:val="00A92C66"/>
    <w:rsid w:val="00AE0E00"/>
    <w:rsid w:val="00AF7770"/>
    <w:rsid w:val="00AF77A8"/>
    <w:rsid w:val="00B43CA1"/>
    <w:rsid w:val="00B71324"/>
    <w:rsid w:val="00B81C69"/>
    <w:rsid w:val="00B93086"/>
    <w:rsid w:val="00BA2323"/>
    <w:rsid w:val="00BB002B"/>
    <w:rsid w:val="00BD71BB"/>
    <w:rsid w:val="00BE7054"/>
    <w:rsid w:val="00BF658B"/>
    <w:rsid w:val="00C12E82"/>
    <w:rsid w:val="00C21F9F"/>
    <w:rsid w:val="00C349EB"/>
    <w:rsid w:val="00C46E24"/>
    <w:rsid w:val="00C52770"/>
    <w:rsid w:val="00C60639"/>
    <w:rsid w:val="00C60E11"/>
    <w:rsid w:val="00C60F84"/>
    <w:rsid w:val="00C766EE"/>
    <w:rsid w:val="00C90B28"/>
    <w:rsid w:val="00CA3565"/>
    <w:rsid w:val="00CA5E86"/>
    <w:rsid w:val="00CB78E5"/>
    <w:rsid w:val="00CC0FBF"/>
    <w:rsid w:val="00CC6702"/>
    <w:rsid w:val="00CD145D"/>
    <w:rsid w:val="00CE1B38"/>
    <w:rsid w:val="00CE661C"/>
    <w:rsid w:val="00CF3C97"/>
    <w:rsid w:val="00CF6832"/>
    <w:rsid w:val="00D04B3F"/>
    <w:rsid w:val="00D20F60"/>
    <w:rsid w:val="00D3491B"/>
    <w:rsid w:val="00D35E16"/>
    <w:rsid w:val="00D36416"/>
    <w:rsid w:val="00D554AC"/>
    <w:rsid w:val="00D55DBC"/>
    <w:rsid w:val="00D56AA3"/>
    <w:rsid w:val="00D6333D"/>
    <w:rsid w:val="00D719C9"/>
    <w:rsid w:val="00D75856"/>
    <w:rsid w:val="00D822BC"/>
    <w:rsid w:val="00DA439B"/>
    <w:rsid w:val="00DB4E21"/>
    <w:rsid w:val="00DC1B4F"/>
    <w:rsid w:val="00DC4C24"/>
    <w:rsid w:val="00DF1B6B"/>
    <w:rsid w:val="00DF37C1"/>
    <w:rsid w:val="00DF5EAE"/>
    <w:rsid w:val="00E04A8B"/>
    <w:rsid w:val="00E051C1"/>
    <w:rsid w:val="00E16CFA"/>
    <w:rsid w:val="00E257C4"/>
    <w:rsid w:val="00E2752C"/>
    <w:rsid w:val="00E35099"/>
    <w:rsid w:val="00E47404"/>
    <w:rsid w:val="00E66BC5"/>
    <w:rsid w:val="00E809D2"/>
    <w:rsid w:val="00E82B8B"/>
    <w:rsid w:val="00EA15BB"/>
    <w:rsid w:val="00EB2344"/>
    <w:rsid w:val="00EC1F4D"/>
    <w:rsid w:val="00EC44E1"/>
    <w:rsid w:val="00EC6D55"/>
    <w:rsid w:val="00ED146F"/>
    <w:rsid w:val="00ED44C8"/>
    <w:rsid w:val="00ED5A38"/>
    <w:rsid w:val="00ED61E0"/>
    <w:rsid w:val="00ED789D"/>
    <w:rsid w:val="00EE68BB"/>
    <w:rsid w:val="00EF570C"/>
    <w:rsid w:val="00F00771"/>
    <w:rsid w:val="00F35DD6"/>
    <w:rsid w:val="00F40309"/>
    <w:rsid w:val="00FA0705"/>
    <w:rsid w:val="00FA08B1"/>
    <w:rsid w:val="00FA7156"/>
    <w:rsid w:val="00FB59F4"/>
    <w:rsid w:val="00FC56A7"/>
    <w:rsid w:val="00FE07EA"/>
    <w:rsid w:val="00FE6AE0"/>
    <w:rsid w:val="038906A7"/>
    <w:rsid w:val="0CC29DA7"/>
    <w:rsid w:val="1239086A"/>
    <w:rsid w:val="1253F51A"/>
    <w:rsid w:val="1C75DB7B"/>
    <w:rsid w:val="1CE5A62A"/>
    <w:rsid w:val="32C6610E"/>
    <w:rsid w:val="39D15E57"/>
    <w:rsid w:val="3C71CDD6"/>
    <w:rsid w:val="4D1EC437"/>
    <w:rsid w:val="4F7CE75E"/>
    <w:rsid w:val="533BF441"/>
    <w:rsid w:val="57096E7C"/>
    <w:rsid w:val="6E041B36"/>
    <w:rsid w:val="76FF169A"/>
    <w:rsid w:val="7CB37CDC"/>
    <w:rsid w:val="7DD475A8"/>
    <w:rsid w:val="7EF59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8D27"/>
  <w15:docId w15:val="{D5FA9E5D-F55C-4187-B3F5-761A639C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BodyText">
    <w:name w:val="Body Text"/>
    <w:basedOn w:val="Normal"/>
    <w:link w:val="BodyTextChar"/>
    <w:uiPriority w:val="1"/>
    <w:qFormat/>
    <w:rsid w:val="00033989"/>
    <w:pPr>
      <w:widowControl w:val="0"/>
      <w:spacing w:after="0" w:line="240" w:lineRule="auto"/>
      <w:ind w:left="100"/>
    </w:pPr>
    <w:rPr>
      <w:rFonts w:ascii="Calibri" w:eastAsia="Calibri" w:hAnsi="Calibri"/>
      <w:sz w:val="23"/>
      <w:szCs w:val="23"/>
    </w:rPr>
  </w:style>
  <w:style w:type="character" w:customStyle="1" w:styleId="BodyTextChar">
    <w:name w:val="Body Text Char"/>
    <w:basedOn w:val="DefaultParagraphFont"/>
    <w:link w:val="BodyText"/>
    <w:uiPriority w:val="1"/>
    <w:rsid w:val="00033989"/>
    <w:rPr>
      <w:rFonts w:ascii="Calibri" w:eastAsia="Calibri" w:hAnsi="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0" ma:contentTypeDescription="Create a new document." ma:contentTypeScope="" ma:versionID="c92bd48efd9cff100f076ae222ed5f8f">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b3dc856cb918bd3db0cdc5f26c6c4e9e"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A885A-9F45-4C80-8A20-9DC5B6D81417}">
  <ds:schemaRefs>
    <ds:schemaRef ds:uri="http://schemas.microsoft.com/sharepoint/v3/contenttype/forms"/>
  </ds:schemaRefs>
</ds:datastoreItem>
</file>

<file path=customXml/itemProps2.xml><?xml version="1.0" encoding="utf-8"?>
<ds:datastoreItem xmlns:ds="http://schemas.openxmlformats.org/officeDocument/2006/customXml" ds:itemID="{721C27BE-15D3-4941-8298-9F2A54EFB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B395B-5136-4401-9842-5CB39D9C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B69DA-C5A3-4F6E-917F-0914EE65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Michael Payne</cp:lastModifiedBy>
  <cp:revision>2</cp:revision>
  <cp:lastPrinted>2014-04-25T17:21:00Z</cp:lastPrinted>
  <dcterms:created xsi:type="dcterms:W3CDTF">2023-09-22T16:12:00Z</dcterms:created>
  <dcterms:modified xsi:type="dcterms:W3CDTF">2023-09-22T16:12:00Z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