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14:paraId="32E5AA44" w14:textId="77777777" w:rsidTr="009806EC">
        <w:tc>
          <w:tcPr>
            <w:tcW w:w="6588" w:type="dxa"/>
          </w:tcPr>
          <w:p w14:paraId="1813C7D5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04224" wp14:editId="18760452">
                  <wp:extent cx="2514600" cy="633845"/>
                  <wp:effectExtent l="19050" t="0" r="0" b="0"/>
                  <wp:docPr id="5" name="Picture 5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49E5EE5A" w14:textId="77777777"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14F5C079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2FC1B10B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14:paraId="6CDC7B06" w14:textId="77777777" w:rsidTr="009806EC">
        <w:tc>
          <w:tcPr>
            <w:tcW w:w="1291" w:type="dxa"/>
          </w:tcPr>
          <w:p w14:paraId="34B1D1A2" w14:textId="77777777" w:rsidR="000C38AA" w:rsidRPr="00D554AC" w:rsidRDefault="005D7118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Unit</w:t>
            </w:r>
            <w:r w:rsidR="000C38AA" w:rsidRPr="00D554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47337A8" w14:textId="77777777" w:rsidR="005C58FB" w:rsidRDefault="005C58FB" w:rsidP="009806EC">
            <w:pPr>
              <w:rPr>
                <w:b/>
                <w:sz w:val="24"/>
                <w:szCs w:val="24"/>
              </w:rPr>
            </w:pPr>
          </w:p>
          <w:p w14:paraId="24C3F724" w14:textId="30E2B73E" w:rsidR="000C38AA" w:rsidRPr="00B81C69" w:rsidRDefault="00C16276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Success Center</w:t>
            </w:r>
          </w:p>
        </w:tc>
        <w:tc>
          <w:tcPr>
            <w:tcW w:w="2610" w:type="dxa"/>
          </w:tcPr>
          <w:p w14:paraId="0CECD7E7" w14:textId="77777777"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648BF2D4" w14:textId="77777777" w:rsidR="000C38AA" w:rsidRDefault="000C38AA" w:rsidP="009806EC">
            <w:pPr>
              <w:rPr>
                <w:b/>
                <w:sz w:val="24"/>
                <w:szCs w:val="24"/>
              </w:rPr>
            </w:pPr>
          </w:p>
          <w:p w14:paraId="752378C1" w14:textId="17334329" w:rsidR="005C58FB" w:rsidRPr="00B81C69" w:rsidRDefault="00A07FD7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</w:tbl>
    <w:p w14:paraId="61687935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14:paraId="4D3A7074" w14:textId="77777777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14:paraId="6DF089CC" w14:textId="77777777" w:rsidTr="009806EC">
              <w:tc>
                <w:tcPr>
                  <w:tcW w:w="3510" w:type="dxa"/>
                </w:tcPr>
                <w:p w14:paraId="7FFED2F9" w14:textId="77777777" w:rsidR="000C38AA" w:rsidRPr="00102B7D" w:rsidRDefault="005D7118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Service Unit Mission:</w:t>
                  </w:r>
                </w:p>
              </w:tc>
            </w:tr>
          </w:tbl>
          <w:p w14:paraId="3FE35451" w14:textId="77777777" w:rsidR="000C38AA" w:rsidRDefault="000C38AA" w:rsidP="009806EC"/>
          <w:p w14:paraId="0697D01A" w14:textId="7628C556" w:rsidR="00C16276" w:rsidRPr="00664A3F" w:rsidRDefault="00C16276" w:rsidP="00C16276">
            <w:pPr>
              <w:rPr>
                <w:rFonts w:cstheme="minorHAnsi"/>
              </w:rPr>
            </w:pPr>
            <w:r w:rsidRPr="008B0F30">
              <w:t xml:space="preserve">The mission of the </w:t>
            </w:r>
            <w:r>
              <w:t xml:space="preserve">Student Success Center is the mission statement of Jefferson State Community College. </w:t>
            </w:r>
            <w:r w:rsidRPr="00664A3F">
              <w:rPr>
                <w:rFonts w:cstheme="minorHAnsi"/>
                <w:color w:val="202124"/>
                <w:shd w:val="clear" w:color="auto" w:fill="FFFFFF"/>
              </w:rPr>
              <w:t>The college is committed to providing accessible </w:t>
            </w:r>
            <w:r w:rsidRPr="00664A3F">
              <w:rPr>
                <w:rStyle w:val="jpfdse"/>
                <w:rFonts w:cstheme="minorHAnsi"/>
                <w:color w:val="202124"/>
                <w:shd w:val="clear" w:color="auto" w:fill="FFFFFF"/>
              </w:rPr>
              <w:t>educational</w:t>
            </w:r>
            <w:r w:rsidRPr="00664A3F">
              <w:rPr>
                <w:rFonts w:cstheme="minorHAnsi"/>
                <w:color w:val="202124"/>
                <w:shd w:val="clear" w:color="auto" w:fill="FFFFFF"/>
              </w:rPr>
              <w:t> and workforce development programs through which students may obtain the skills and knowledge necessary to pursue their life's work and to become educated members of society.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This service unit will provide wrap around support in a wholistic approach to improving student success. </w:t>
            </w:r>
          </w:p>
          <w:p w14:paraId="0F266EFC" w14:textId="77777777" w:rsidR="000C38AA" w:rsidRDefault="000C38AA" w:rsidP="009806EC"/>
          <w:p w14:paraId="507C7EEE" w14:textId="77777777" w:rsidR="000C38AA" w:rsidRDefault="000C38AA" w:rsidP="009806EC"/>
          <w:p w14:paraId="531E51F1" w14:textId="01E7F69D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55F8ED2D" w14:textId="77777777"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0C38AA" w:rsidRPr="00D554AC" w14:paraId="666C6985" w14:textId="77777777" w:rsidTr="56D1DCE3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9AFCBC9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14:paraId="7829C232" w14:textId="77777777"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14:paraId="750BF2BE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14:paraId="2D5F28DE" w14:textId="77777777" w:rsidTr="56D1DCE3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8EEF4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F93E61A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EF36A9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F10A23F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3C2D3536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5C58FB" w14:paraId="50B651E2" w14:textId="77777777" w:rsidTr="56D1DCE3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08E999BC" w14:textId="2A5626DE" w:rsidR="005C58FB" w:rsidRDefault="005C58FB" w:rsidP="005C58FB">
            <w:r>
              <w:t xml:space="preserve">Providing </w:t>
            </w:r>
            <w:r w:rsidR="00C16276">
              <w:t>wrap around support such as emergency grant assistance, access to mental health services, food pantry, and other support services</w:t>
            </w:r>
            <w:r>
              <w:t>.</w:t>
            </w:r>
          </w:p>
          <w:p w14:paraId="04BB85EF" w14:textId="77777777" w:rsidR="005C58FB" w:rsidRDefault="005C58FB" w:rsidP="005C58FB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90DE3FD" w14:textId="765B205D" w:rsidR="005C58FB" w:rsidRDefault="005C58FB" w:rsidP="005C58FB">
            <w:r>
              <w:t>Reviewing and auditing th</w:t>
            </w:r>
            <w:r w:rsidR="00C16276">
              <w:t xml:space="preserve">e accessibility of information related to the Student Success Center. </w:t>
            </w:r>
          </w:p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14F0234D" w14:textId="7F73A183" w:rsidR="005C58FB" w:rsidRDefault="00C16276" w:rsidP="005C58FB">
            <w:r>
              <w:t xml:space="preserve">Reaching at least 1000 students each operating year. </w:t>
            </w:r>
            <w:r w:rsidR="005C58FB">
              <w:t xml:space="preserve"> </w:t>
            </w:r>
            <w:r w:rsidR="0052084E">
              <w:t xml:space="preserve">A minimum of 100 students receiving food support, 50 students receiving emergency grants, 50 students receiving financial education, and 100 receiving other support services.  </w:t>
            </w: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B86F1E6" w14:textId="100953AB" w:rsidR="005C58FB" w:rsidRDefault="00F030E2" w:rsidP="005C58FB">
            <w:r>
              <w:t>416 individuals</w:t>
            </w:r>
            <w:r w:rsidR="00C16276">
              <w:t xml:space="preserve"> received food pantry services. </w:t>
            </w:r>
            <w:r w:rsidR="001E3442">
              <w:t xml:space="preserve">107 students contacted the SSC for wrap around services. 26 students received emergency grant assistance. 37 students </w:t>
            </w:r>
            <w:r w:rsidR="00904F59">
              <w:t>accessed</w:t>
            </w:r>
            <w:r w:rsidR="001E3442">
              <w:t xml:space="preserve"> EAS mental health counseling</w:t>
            </w:r>
            <w:r w:rsidR="00904F59">
              <w:t xml:space="preserve"> services</w:t>
            </w:r>
            <w:r w:rsidR="001E3442">
              <w:t xml:space="preserve"> and 94 </w:t>
            </w:r>
            <w:r w:rsidR="00904F59">
              <w:t xml:space="preserve">students </w:t>
            </w:r>
            <w:r w:rsidR="001E3442">
              <w:t>utilized Togetherall for peer-to-peer support.</w:t>
            </w:r>
            <w:r w:rsidR="00201F13">
              <w:t xml:space="preserve"> 9</w:t>
            </w:r>
            <w:r w:rsidR="00C44777">
              <w:t>48</w:t>
            </w:r>
            <w:r w:rsidR="00201F13">
              <w:t xml:space="preserve"> students were reached at New Student Orientations.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14:paraId="62FAF5D8" w14:textId="17CB4C77" w:rsidR="005C58FB" w:rsidRDefault="00904F59" w:rsidP="005C58FB">
            <w:r>
              <w:t xml:space="preserve">Numbers served </w:t>
            </w:r>
            <w:r w:rsidR="002D15B3">
              <w:t xml:space="preserve">are </w:t>
            </w:r>
            <w:r>
              <w:t xml:space="preserve">used to measure the effectiveness of the SSC and College wide efforts to ensure students, staff, and faculty are aware of the SSC. Also, </w:t>
            </w:r>
            <w:r w:rsidR="002D15B3">
              <w:t>review of</w:t>
            </w:r>
            <w:r>
              <w:t xml:space="preserve"> ease of access for students to request services and staff/faculty to submit referrals. </w:t>
            </w:r>
          </w:p>
        </w:tc>
      </w:tr>
      <w:tr w:rsidR="005C58FB" w14:paraId="6DE327B3" w14:textId="77777777" w:rsidTr="56D1DCE3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45F8B0A" w14:textId="7BE82C4D" w:rsidR="005C58FB" w:rsidRDefault="002A6B37" w:rsidP="005C58FB">
            <w:r>
              <w:lastRenderedPageBreak/>
              <w:t>Providing</w:t>
            </w:r>
            <w:r w:rsidR="005C58FB">
              <w:t xml:space="preserve"> </w:t>
            </w:r>
            <w:r w:rsidR="00C16276">
              <w:t xml:space="preserve">wrap around support services to improve student </w:t>
            </w:r>
            <w:r w:rsidR="0052084E">
              <w:t>success</w:t>
            </w:r>
            <w:r w:rsidR="00C16276">
              <w:t xml:space="preserve">. </w:t>
            </w:r>
          </w:p>
          <w:p w14:paraId="7065D4B9" w14:textId="77777777" w:rsidR="005C58FB" w:rsidRDefault="005C58FB" w:rsidP="005C58FB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D9EB219" w14:textId="1041225D" w:rsidR="005C58FB" w:rsidRDefault="0052084E" w:rsidP="005C58FB">
            <w:r>
              <w:t>An active website, referral documents, email address, phone line, and c</w:t>
            </w:r>
            <w:r w:rsidR="005C58FB">
              <w:t>alendar of e</w:t>
            </w:r>
            <w:r w:rsidR="00BF0A83">
              <w:t>vents</w:t>
            </w:r>
            <w:r>
              <w:t xml:space="preserve"> for the Student Success Center.  Maintaining a count of the numbers of students reached and served. 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14:paraId="1C232A59" w14:textId="420DA808" w:rsidR="005C58FB" w:rsidRDefault="00F90110" w:rsidP="005C58FB">
            <w:r>
              <w:t>Summer to summer</w:t>
            </w:r>
            <w:r w:rsidR="0052084E">
              <w:t xml:space="preserve"> retention for those reached by the Student Success Center at 60% and graduation rate of those reached by the Student Success Center at 25% (this may vary based on students’ initial enrollment, program, transfer, etc.)</w:t>
            </w:r>
            <w:r w:rsidR="005C58FB"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0C1C53D4" w14:textId="29E582D5" w:rsidR="005C58FB" w:rsidRDefault="002D15B3" w:rsidP="005C58FB">
            <w:r>
              <w:t>SSC students served r</w:t>
            </w:r>
            <w:r w:rsidR="00F01875">
              <w:t xml:space="preserve">etention is </w:t>
            </w:r>
            <w:r w:rsidR="00EA6845">
              <w:t>85%</w:t>
            </w:r>
            <w:r>
              <w:t xml:space="preserve">. </w:t>
            </w:r>
            <w:r w:rsidR="00F01875">
              <w:t xml:space="preserve"> Full graduation percentages</w:t>
            </w:r>
            <w:r w:rsidR="00D30A72">
              <w:t xml:space="preserve"> will be measured 9 semesters after </w:t>
            </w:r>
            <w:r w:rsidR="00CD1A56">
              <w:t>students’</w:t>
            </w:r>
            <w:r w:rsidR="00D30A72">
              <w:t xml:space="preserve"> initial contact with the SSC. 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35C8A809" w14:textId="7FEDCB1A" w:rsidR="000902E4" w:rsidRDefault="00D30A72" w:rsidP="000902E4">
            <w:r>
              <w:t xml:space="preserve">SSC staff worked </w:t>
            </w:r>
            <w:r w:rsidR="00C16276">
              <w:t xml:space="preserve">with JSCC Communications to develop flyers highlighting </w:t>
            </w:r>
            <w:r w:rsidR="00F56A1E">
              <w:t xml:space="preserve">SSC services. There </w:t>
            </w:r>
            <w:r w:rsidR="002D15B3">
              <w:t>are</w:t>
            </w:r>
            <w:r w:rsidR="00F56A1E">
              <w:t xml:space="preserve"> flyers listing all services and flyers highlighting specific services and special events</w:t>
            </w:r>
            <w:r>
              <w:t xml:space="preserve">. </w:t>
            </w:r>
            <w:r w:rsidR="00C16276">
              <w:t xml:space="preserve"> </w:t>
            </w:r>
            <w:r>
              <w:t xml:space="preserve">Monthly mental health happy hours </w:t>
            </w:r>
            <w:r w:rsidR="002D15B3">
              <w:t>are</w:t>
            </w:r>
            <w:r>
              <w:t xml:space="preserve"> done at Shelby and Jefferson in partnership with </w:t>
            </w:r>
            <w:r w:rsidR="002D15B3">
              <w:t xml:space="preserve">the </w:t>
            </w:r>
            <w:r w:rsidR="00EF69B2">
              <w:t xml:space="preserve">Addiction Prevention Coalition. </w:t>
            </w:r>
            <w:r w:rsidR="00CD1A56">
              <w:t xml:space="preserve">Emails and text messages (Full Measure) </w:t>
            </w:r>
            <w:r w:rsidR="002D15B3">
              <w:t>are</w:t>
            </w:r>
            <w:r w:rsidR="00CD1A56">
              <w:t xml:space="preserve"> sent at least twice a semester to all enrolled students. Updated student lists are sent to Togetherall and EAS to ensure students have access to these services. Also, social media</w:t>
            </w:r>
            <w:r w:rsidR="002D15B3">
              <w:t xml:space="preserve"> is updated with current events and services</w:t>
            </w:r>
            <w:r w:rsidR="00CD1A56">
              <w:t>.</w:t>
            </w:r>
            <w:r w:rsidR="002D15B3">
              <w:t xml:space="preserve"> Last, SSC staff and JSCC Communications are finalizing</w:t>
            </w:r>
            <w:r w:rsidR="00CD1A56">
              <w:t xml:space="preserve"> </w:t>
            </w:r>
            <w:r w:rsidR="002D15B3">
              <w:t xml:space="preserve">a promotional video for the SSC. </w:t>
            </w:r>
            <w:r w:rsidR="00CD1A56">
              <w:t xml:space="preserve"> </w:t>
            </w:r>
          </w:p>
        </w:tc>
      </w:tr>
      <w:tr w:rsidR="005C58FB" w14:paraId="497EDF9A" w14:textId="77777777" w:rsidTr="56D1DCE3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14:paraId="18EE3047" w14:textId="77777777" w:rsidR="005C58FB" w:rsidRPr="002A44E2" w:rsidRDefault="005C58FB" w:rsidP="005C58FB">
            <w:pPr>
              <w:rPr>
                <w:sz w:val="12"/>
                <w:szCs w:val="12"/>
              </w:rPr>
            </w:pPr>
          </w:p>
          <w:p w14:paraId="04BED5CF" w14:textId="48685C4D" w:rsidR="005C58FB" w:rsidRPr="005C58FB" w:rsidRDefault="008267C3" w:rsidP="005C58FB">
            <w:pPr>
              <w:rPr>
                <w:sz w:val="12"/>
                <w:szCs w:val="12"/>
              </w:rPr>
            </w:pPr>
            <w:r>
              <w:rPr>
                <w:b/>
              </w:rPr>
              <w:t>Submission</w:t>
            </w:r>
            <w:r w:rsidR="005C58FB" w:rsidRPr="00D554AC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5C58FB" w:rsidRPr="00D554AC">
              <w:rPr>
                <w:b/>
              </w:rPr>
              <w:t>ate:</w:t>
            </w:r>
            <w:r w:rsidR="005C58FB">
              <w:rPr>
                <w:b/>
              </w:rPr>
              <w:t xml:space="preserve">  </w:t>
            </w:r>
            <w:r w:rsidR="00530B2A">
              <w:rPr>
                <w:bCs/>
              </w:rPr>
              <w:t>August 21, 2023</w:t>
            </w:r>
          </w:p>
          <w:p w14:paraId="281D1AA7" w14:textId="77777777" w:rsidR="005C58FB" w:rsidRDefault="005C58FB" w:rsidP="005C58FB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F9431D6" w14:textId="77777777" w:rsidR="005C58FB" w:rsidRPr="002A44E2" w:rsidRDefault="005C58FB" w:rsidP="005C58FB">
            <w:pPr>
              <w:rPr>
                <w:sz w:val="12"/>
                <w:szCs w:val="12"/>
              </w:rPr>
            </w:pPr>
          </w:p>
          <w:p w14:paraId="7348CF48" w14:textId="64825232" w:rsidR="005C58FB" w:rsidRPr="005C58FB" w:rsidRDefault="005C58FB" w:rsidP="005C58FB">
            <w:r w:rsidRPr="00102B7D">
              <w:rPr>
                <w:b/>
              </w:rPr>
              <w:t xml:space="preserve">Submitted </w:t>
            </w:r>
            <w:r w:rsidR="008267C3">
              <w:rPr>
                <w:b/>
              </w:rPr>
              <w:t>B</w:t>
            </w:r>
            <w:r w:rsidRPr="00102B7D">
              <w:rPr>
                <w:b/>
              </w:rPr>
              <w:t>y:</w:t>
            </w:r>
            <w:r>
              <w:rPr>
                <w:b/>
              </w:rPr>
              <w:t xml:space="preserve"> </w:t>
            </w:r>
            <w:r>
              <w:t>Tamara Payne, Ph. D</w:t>
            </w:r>
          </w:p>
          <w:p w14:paraId="4B44F6C4" w14:textId="77777777" w:rsidR="005C58FB" w:rsidRPr="002A44E2" w:rsidRDefault="005C58FB" w:rsidP="005C58FB">
            <w:pPr>
              <w:rPr>
                <w:sz w:val="12"/>
                <w:szCs w:val="12"/>
              </w:rPr>
            </w:pPr>
          </w:p>
          <w:p w14:paraId="2FBB8F8D" w14:textId="77777777" w:rsidR="005C58FB" w:rsidRPr="002A44E2" w:rsidRDefault="005C58FB" w:rsidP="005C58FB">
            <w:pPr>
              <w:rPr>
                <w:b/>
                <w:sz w:val="8"/>
                <w:szCs w:val="8"/>
              </w:rPr>
            </w:pPr>
          </w:p>
        </w:tc>
      </w:tr>
    </w:tbl>
    <w:p w14:paraId="7D7ABB8A" w14:textId="77777777" w:rsidR="00397D38" w:rsidRDefault="00397D38" w:rsidP="009137B5"/>
    <w:sectPr w:rsidR="00397D38" w:rsidSect="00102B7D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DD28" w14:textId="77777777" w:rsidR="00F333B3" w:rsidRDefault="00F333B3" w:rsidP="00A77932">
      <w:pPr>
        <w:spacing w:after="0" w:line="240" w:lineRule="auto"/>
      </w:pPr>
      <w:r>
        <w:separator/>
      </w:r>
    </w:p>
  </w:endnote>
  <w:endnote w:type="continuationSeparator" w:id="0">
    <w:p w14:paraId="034F9534" w14:textId="77777777" w:rsidR="00F333B3" w:rsidRDefault="00F333B3" w:rsidP="00A77932">
      <w:pPr>
        <w:spacing w:after="0" w:line="240" w:lineRule="auto"/>
      </w:pPr>
      <w:r>
        <w:continuationSeparator/>
      </w:r>
    </w:p>
  </w:endnote>
  <w:endnote w:type="continuationNotice" w:id="1">
    <w:p w14:paraId="0347791C" w14:textId="77777777" w:rsidR="00F333B3" w:rsidRDefault="00F33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70DF" w14:textId="7BBC4A17" w:rsidR="00A77932" w:rsidRDefault="00904F59" w:rsidP="00A77932">
    <w:pPr>
      <w:pStyle w:val="Footer"/>
      <w:jc w:val="right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4324" w14:textId="77777777" w:rsidR="00F333B3" w:rsidRDefault="00F333B3" w:rsidP="00A77932">
      <w:pPr>
        <w:spacing w:after="0" w:line="240" w:lineRule="auto"/>
      </w:pPr>
      <w:r>
        <w:separator/>
      </w:r>
    </w:p>
  </w:footnote>
  <w:footnote w:type="continuationSeparator" w:id="0">
    <w:p w14:paraId="17733456" w14:textId="77777777" w:rsidR="00F333B3" w:rsidRDefault="00F333B3" w:rsidP="00A77932">
      <w:pPr>
        <w:spacing w:after="0" w:line="240" w:lineRule="auto"/>
      </w:pPr>
      <w:r>
        <w:continuationSeparator/>
      </w:r>
    </w:p>
  </w:footnote>
  <w:footnote w:type="continuationNotice" w:id="1">
    <w:p w14:paraId="03394EE4" w14:textId="77777777" w:rsidR="00F333B3" w:rsidRDefault="00F333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62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22A3D"/>
    <w:rsid w:val="000902E4"/>
    <w:rsid w:val="000B12C1"/>
    <w:rsid w:val="000C38AA"/>
    <w:rsid w:val="000E06AF"/>
    <w:rsid w:val="001008D1"/>
    <w:rsid w:val="00102B7D"/>
    <w:rsid w:val="00141CCC"/>
    <w:rsid w:val="001A778A"/>
    <w:rsid w:val="001B03A7"/>
    <w:rsid w:val="001E3442"/>
    <w:rsid w:val="00200D78"/>
    <w:rsid w:val="00201F13"/>
    <w:rsid w:val="00223D12"/>
    <w:rsid w:val="00282FCA"/>
    <w:rsid w:val="002A44E2"/>
    <w:rsid w:val="002A6B37"/>
    <w:rsid w:val="002D15B3"/>
    <w:rsid w:val="002D1B99"/>
    <w:rsid w:val="002D3CB9"/>
    <w:rsid w:val="002F5916"/>
    <w:rsid w:val="00340A60"/>
    <w:rsid w:val="00396805"/>
    <w:rsid w:val="00397D38"/>
    <w:rsid w:val="003B5B93"/>
    <w:rsid w:val="003E456A"/>
    <w:rsid w:val="003F3456"/>
    <w:rsid w:val="004526C2"/>
    <w:rsid w:val="004801D6"/>
    <w:rsid w:val="00490115"/>
    <w:rsid w:val="004C10C2"/>
    <w:rsid w:val="004C5801"/>
    <w:rsid w:val="004F267A"/>
    <w:rsid w:val="004F62F7"/>
    <w:rsid w:val="00500CE7"/>
    <w:rsid w:val="005024CA"/>
    <w:rsid w:val="005132E0"/>
    <w:rsid w:val="00515CA5"/>
    <w:rsid w:val="0052084E"/>
    <w:rsid w:val="00526591"/>
    <w:rsid w:val="00530B2A"/>
    <w:rsid w:val="005802E0"/>
    <w:rsid w:val="00583E3F"/>
    <w:rsid w:val="005C58FB"/>
    <w:rsid w:val="005D3C2D"/>
    <w:rsid w:val="005D7118"/>
    <w:rsid w:val="005E11ED"/>
    <w:rsid w:val="005F7BF1"/>
    <w:rsid w:val="00630FD6"/>
    <w:rsid w:val="00642B72"/>
    <w:rsid w:val="00652BB2"/>
    <w:rsid w:val="00656D67"/>
    <w:rsid w:val="00691FF1"/>
    <w:rsid w:val="006C0520"/>
    <w:rsid w:val="00730CAC"/>
    <w:rsid w:val="007321D8"/>
    <w:rsid w:val="007469CA"/>
    <w:rsid w:val="0076432C"/>
    <w:rsid w:val="007776C8"/>
    <w:rsid w:val="00780805"/>
    <w:rsid w:val="00797138"/>
    <w:rsid w:val="007A0D1B"/>
    <w:rsid w:val="007A555C"/>
    <w:rsid w:val="007C3B18"/>
    <w:rsid w:val="0081653C"/>
    <w:rsid w:val="008267C3"/>
    <w:rsid w:val="008332F9"/>
    <w:rsid w:val="00836FB1"/>
    <w:rsid w:val="00853D98"/>
    <w:rsid w:val="008736FC"/>
    <w:rsid w:val="008831FB"/>
    <w:rsid w:val="00891F7D"/>
    <w:rsid w:val="008A2122"/>
    <w:rsid w:val="008A3BC9"/>
    <w:rsid w:val="008B2018"/>
    <w:rsid w:val="00904F59"/>
    <w:rsid w:val="009137B5"/>
    <w:rsid w:val="009232AB"/>
    <w:rsid w:val="00993270"/>
    <w:rsid w:val="009C2DC1"/>
    <w:rsid w:val="00A07FD7"/>
    <w:rsid w:val="00A63391"/>
    <w:rsid w:val="00A757A2"/>
    <w:rsid w:val="00A77932"/>
    <w:rsid w:val="00AA5D71"/>
    <w:rsid w:val="00AA643E"/>
    <w:rsid w:val="00AC0FB9"/>
    <w:rsid w:val="00AF77A8"/>
    <w:rsid w:val="00B430C5"/>
    <w:rsid w:val="00B81C69"/>
    <w:rsid w:val="00B93086"/>
    <w:rsid w:val="00BC5633"/>
    <w:rsid w:val="00BF0A83"/>
    <w:rsid w:val="00C13767"/>
    <w:rsid w:val="00C16276"/>
    <w:rsid w:val="00C21A72"/>
    <w:rsid w:val="00C256D4"/>
    <w:rsid w:val="00C44777"/>
    <w:rsid w:val="00C60639"/>
    <w:rsid w:val="00C66EE3"/>
    <w:rsid w:val="00C831BA"/>
    <w:rsid w:val="00C950FD"/>
    <w:rsid w:val="00CA1201"/>
    <w:rsid w:val="00CC369A"/>
    <w:rsid w:val="00CC6702"/>
    <w:rsid w:val="00CC7238"/>
    <w:rsid w:val="00CD1A56"/>
    <w:rsid w:val="00D1156C"/>
    <w:rsid w:val="00D30A72"/>
    <w:rsid w:val="00D554AC"/>
    <w:rsid w:val="00D8719C"/>
    <w:rsid w:val="00DA439B"/>
    <w:rsid w:val="00DA7753"/>
    <w:rsid w:val="00DC1C05"/>
    <w:rsid w:val="00E14440"/>
    <w:rsid w:val="00E16AFA"/>
    <w:rsid w:val="00E25814"/>
    <w:rsid w:val="00E64194"/>
    <w:rsid w:val="00E943AA"/>
    <w:rsid w:val="00EA6845"/>
    <w:rsid w:val="00ED4A2F"/>
    <w:rsid w:val="00EE19EF"/>
    <w:rsid w:val="00EF69B2"/>
    <w:rsid w:val="00F01875"/>
    <w:rsid w:val="00F030E2"/>
    <w:rsid w:val="00F07EBA"/>
    <w:rsid w:val="00F333B3"/>
    <w:rsid w:val="00F5043E"/>
    <w:rsid w:val="00F56A1E"/>
    <w:rsid w:val="00F90110"/>
    <w:rsid w:val="00FA1705"/>
    <w:rsid w:val="00FB38E1"/>
    <w:rsid w:val="0BCB980E"/>
    <w:rsid w:val="3137157C"/>
    <w:rsid w:val="3BEE4EC0"/>
    <w:rsid w:val="3FB88ECA"/>
    <w:rsid w:val="44EDA32A"/>
    <w:rsid w:val="52721AD6"/>
    <w:rsid w:val="540DEB37"/>
    <w:rsid w:val="56D1DCE3"/>
    <w:rsid w:val="5C9BDC27"/>
    <w:rsid w:val="7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3E5"/>
  <w15:docId w15:val="{3CA9028A-F04A-4F64-83BD-78283D7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character" w:customStyle="1" w:styleId="jpfdse">
    <w:name w:val="jpfdse"/>
    <w:basedOn w:val="DefaultParagraphFont"/>
    <w:rsid w:val="00C1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A7C35EF7D9498CF1FE6FA8D9EC77" ma:contentTypeVersion="14" ma:contentTypeDescription="Create a new document." ma:contentTypeScope="" ma:versionID="0adaea9d980394c1e94a4fa6cf5def26">
  <xsd:schema xmlns:xsd="http://www.w3.org/2001/XMLSchema" xmlns:xs="http://www.w3.org/2001/XMLSchema" xmlns:p="http://schemas.microsoft.com/office/2006/metadata/properties" xmlns:ns3="1996800a-e14a-4802-9515-eb7d0c852a92" xmlns:ns4="29001ef6-ed15-4dad-aa57-40328cb3c6b2" targetNamespace="http://schemas.microsoft.com/office/2006/metadata/properties" ma:root="true" ma:fieldsID="03d89080f283d02497a306b907604fbf" ns3:_="" ns4:_="">
    <xsd:import namespace="1996800a-e14a-4802-9515-eb7d0c852a92"/>
    <xsd:import namespace="29001ef6-ed15-4dad-aa57-40328cb3c6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800a-e14a-4802-9515-eb7d0c852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01ef6-ed15-4dad-aa57-40328cb3c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9BDD4-0644-4B87-829C-722132AA0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F3872-6602-4E82-B464-E3DF2F6B3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82ECA-A9DF-4676-A078-7F018F49B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7B200-08C1-43D3-9A07-BF45AADA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6800a-e14a-4802-9515-eb7d0c852a92"/>
    <ds:schemaRef ds:uri="29001ef6-ed15-4dad-aa57-40328cb3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Tamara</cp:lastModifiedBy>
  <cp:revision>4</cp:revision>
  <cp:lastPrinted>2012-06-22T19:03:00Z</cp:lastPrinted>
  <dcterms:created xsi:type="dcterms:W3CDTF">2023-08-18T15:02:00Z</dcterms:created>
  <dcterms:modified xsi:type="dcterms:W3CDTF">2023-09-05T15:36:00Z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0x010100F877A7C35EF7D9498CF1FE6FA8D9EC77</vt:lpwstr>
  </property>
</Properties>
</file>